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4973" w14:textId="2FAF1114" w:rsidR="009159F1" w:rsidRPr="009159F1" w:rsidRDefault="009159F1">
      <w:pPr>
        <w:rPr>
          <w:rFonts w:ascii="Arial" w:hAnsi="Arial" w:cs="Arial"/>
          <w:b/>
          <w:bCs/>
          <w:u w:val="single"/>
        </w:rPr>
      </w:pPr>
      <w:r w:rsidRPr="009159F1">
        <w:rPr>
          <w:rFonts w:ascii="Arial" w:hAnsi="Arial" w:cs="Arial"/>
          <w:b/>
          <w:bCs/>
          <w:u w:val="single"/>
        </w:rPr>
        <w:t xml:space="preserve">Annex A – </w:t>
      </w:r>
      <w:r w:rsidR="00F25C66">
        <w:rPr>
          <w:rFonts w:ascii="Arial" w:hAnsi="Arial" w:cs="Arial"/>
          <w:b/>
          <w:bCs/>
          <w:u w:val="single"/>
        </w:rPr>
        <w:t>D</w:t>
      </w:r>
      <w:r w:rsidRPr="009159F1">
        <w:rPr>
          <w:rFonts w:ascii="Arial" w:hAnsi="Arial" w:cs="Arial"/>
          <w:b/>
          <w:bCs/>
          <w:u w:val="single"/>
        </w:rPr>
        <w:t xml:space="preserve">raft </w:t>
      </w:r>
      <w:r w:rsidR="00F25C66">
        <w:rPr>
          <w:rFonts w:ascii="Arial" w:hAnsi="Arial" w:cs="Arial"/>
          <w:b/>
          <w:bCs/>
          <w:u w:val="single"/>
        </w:rPr>
        <w:t xml:space="preserve">BGS </w:t>
      </w:r>
      <w:r w:rsidR="007B2FE9">
        <w:rPr>
          <w:rFonts w:ascii="Arial" w:hAnsi="Arial" w:cs="Arial"/>
          <w:b/>
          <w:bCs/>
          <w:u w:val="single"/>
        </w:rPr>
        <w:t xml:space="preserve">24-month </w:t>
      </w:r>
      <w:r w:rsidRPr="009159F1">
        <w:rPr>
          <w:rFonts w:ascii="Arial" w:hAnsi="Arial" w:cs="Arial"/>
          <w:b/>
          <w:bCs/>
          <w:u w:val="single"/>
        </w:rPr>
        <w:t>Action Plan (priority actions in blue)</w:t>
      </w:r>
    </w:p>
    <w:tbl>
      <w:tblPr>
        <w:tblStyle w:val="TableGrid"/>
        <w:tblW w:w="0" w:type="auto"/>
        <w:tblLook w:val="04A0" w:firstRow="1" w:lastRow="0" w:firstColumn="1" w:lastColumn="0" w:noHBand="0" w:noVBand="1"/>
      </w:tblPr>
      <w:tblGrid>
        <w:gridCol w:w="1805"/>
        <w:gridCol w:w="3719"/>
        <w:gridCol w:w="8079"/>
      </w:tblGrid>
      <w:tr w:rsidR="00797497" w14:paraId="3F734B57" w14:textId="1598BA3D" w:rsidTr="008C7947">
        <w:tc>
          <w:tcPr>
            <w:tcW w:w="1805" w:type="dxa"/>
            <w:shd w:val="clear" w:color="auto" w:fill="E7E6E6" w:themeFill="background2"/>
          </w:tcPr>
          <w:p w14:paraId="3E1902FC" w14:textId="77777777" w:rsidR="00797497" w:rsidRDefault="00797497" w:rsidP="00CA5ECE">
            <w:pPr>
              <w:rPr>
                <w:rFonts w:ascii="Arial" w:hAnsi="Arial" w:cs="Arial"/>
                <w:b/>
                <w:bCs/>
              </w:rPr>
            </w:pPr>
            <w:r w:rsidRPr="003E3558">
              <w:rPr>
                <w:rFonts w:ascii="Arial" w:hAnsi="Arial" w:cs="Arial"/>
                <w:b/>
                <w:bCs/>
              </w:rPr>
              <w:t xml:space="preserve">Key Areas </w:t>
            </w:r>
          </w:p>
          <w:p w14:paraId="3216CDB3" w14:textId="63A243A7" w:rsidR="00797497" w:rsidRPr="003E3558" w:rsidRDefault="00797497" w:rsidP="00CA5ECE">
            <w:pPr>
              <w:rPr>
                <w:rFonts w:ascii="Arial" w:hAnsi="Arial" w:cs="Arial"/>
                <w:b/>
                <w:bCs/>
              </w:rPr>
            </w:pPr>
          </w:p>
        </w:tc>
        <w:tc>
          <w:tcPr>
            <w:tcW w:w="3719" w:type="dxa"/>
            <w:shd w:val="clear" w:color="auto" w:fill="E7E6E6" w:themeFill="background2"/>
          </w:tcPr>
          <w:p w14:paraId="2FDE1083" w14:textId="630A4DD5" w:rsidR="00797497" w:rsidRDefault="00797497" w:rsidP="00CA5ECE">
            <w:r w:rsidRPr="00E96D8A">
              <w:rPr>
                <w:rFonts w:ascii="Arial" w:hAnsi="Arial" w:cs="Arial"/>
                <w:b/>
                <w:bCs/>
              </w:rPr>
              <w:t>Talent Commission recommendation</w:t>
            </w:r>
          </w:p>
        </w:tc>
        <w:tc>
          <w:tcPr>
            <w:tcW w:w="8079" w:type="dxa"/>
            <w:shd w:val="clear" w:color="auto" w:fill="E7E6E6" w:themeFill="background2"/>
          </w:tcPr>
          <w:p w14:paraId="752C4C2D" w14:textId="1D58E15D" w:rsidR="00797497" w:rsidRDefault="00797497" w:rsidP="00CA5ECE">
            <w:r w:rsidRPr="00E96D8A">
              <w:rPr>
                <w:rFonts w:ascii="Arial" w:hAnsi="Arial" w:cs="Arial"/>
                <w:b/>
                <w:bCs/>
              </w:rPr>
              <w:t xml:space="preserve">Action </w:t>
            </w:r>
          </w:p>
        </w:tc>
      </w:tr>
      <w:tr w:rsidR="00797497" w14:paraId="65852EE7" w14:textId="2C994B1F" w:rsidTr="008C7947">
        <w:trPr>
          <w:trHeight w:val="1614"/>
        </w:trPr>
        <w:tc>
          <w:tcPr>
            <w:tcW w:w="1805" w:type="dxa"/>
            <w:vMerge w:val="restart"/>
            <w:shd w:val="clear" w:color="auto" w:fill="E7E6E6" w:themeFill="background2"/>
          </w:tcPr>
          <w:p w14:paraId="451E1F26" w14:textId="3D2B04BE" w:rsidR="00797497" w:rsidRPr="003E3558" w:rsidRDefault="00797497" w:rsidP="00CA5ECE">
            <w:pPr>
              <w:rPr>
                <w:rFonts w:ascii="Arial" w:hAnsi="Arial" w:cs="Arial"/>
                <w:b/>
                <w:bCs/>
              </w:rPr>
            </w:pPr>
            <w:r w:rsidRPr="003E3558">
              <w:rPr>
                <w:rFonts w:ascii="Arial" w:hAnsi="Arial" w:cs="Arial"/>
                <w:b/>
                <w:bCs/>
              </w:rPr>
              <w:t>Visibility</w:t>
            </w:r>
          </w:p>
        </w:tc>
        <w:tc>
          <w:tcPr>
            <w:tcW w:w="3719" w:type="dxa"/>
          </w:tcPr>
          <w:p w14:paraId="2F9DC6C7" w14:textId="789B8DF4" w:rsidR="00797497" w:rsidRDefault="00797497" w:rsidP="00CA5ECE">
            <w:r w:rsidRPr="00E96D8A">
              <w:rPr>
                <w:rFonts w:ascii="Arial" w:hAnsi="Arial" w:cs="Arial"/>
              </w:rPr>
              <w:t>Develop a communications package aimed at technicians that supports a positive research culture and the contributions of technicians</w:t>
            </w:r>
          </w:p>
        </w:tc>
        <w:tc>
          <w:tcPr>
            <w:tcW w:w="8079" w:type="dxa"/>
            <w:shd w:val="clear" w:color="auto" w:fill="BDD6EE" w:themeFill="accent5" w:themeFillTint="66"/>
          </w:tcPr>
          <w:p w14:paraId="7F1BAD1C" w14:textId="3C9D79C2" w:rsidR="00797497" w:rsidRPr="003E3558" w:rsidRDefault="00797497" w:rsidP="003E3558">
            <w:pPr>
              <w:pStyle w:val="ListParagraph"/>
              <w:numPr>
                <w:ilvl w:val="0"/>
                <w:numId w:val="1"/>
              </w:numPr>
              <w:ind w:left="178" w:hanging="218"/>
              <w:rPr>
                <w:rFonts w:ascii="Arial" w:hAnsi="Arial" w:cs="Arial"/>
              </w:rPr>
            </w:pPr>
            <w:r w:rsidRPr="003E3558">
              <w:rPr>
                <w:rFonts w:ascii="Arial" w:hAnsi="Arial" w:cs="Arial"/>
              </w:rPr>
              <w:t>Develop a communication strategy that celebrates the role of technicians at the BGS in collaboration with the BGS Communications team</w:t>
            </w:r>
            <w:r>
              <w:rPr>
                <w:rFonts w:ascii="Arial" w:hAnsi="Arial" w:cs="Arial"/>
              </w:rPr>
              <w:t xml:space="preserve">. This will include: </w:t>
            </w:r>
          </w:p>
          <w:p w14:paraId="63CD108B" w14:textId="41A652A4" w:rsidR="00797497" w:rsidRPr="003E3558" w:rsidRDefault="00797497" w:rsidP="003E3558">
            <w:pPr>
              <w:pStyle w:val="ListParagraph"/>
              <w:numPr>
                <w:ilvl w:val="0"/>
                <w:numId w:val="3"/>
              </w:numPr>
              <w:ind w:left="604" w:hanging="244"/>
              <w:rPr>
                <w:rFonts w:ascii="Arial" w:hAnsi="Arial" w:cs="Arial"/>
              </w:rPr>
            </w:pPr>
            <w:r w:rsidRPr="003E3558">
              <w:rPr>
                <w:rFonts w:ascii="Arial" w:hAnsi="Arial" w:cs="Arial"/>
              </w:rPr>
              <w:t xml:space="preserve">Launch </w:t>
            </w:r>
            <w:r>
              <w:rPr>
                <w:rFonts w:ascii="Arial" w:hAnsi="Arial" w:cs="Arial"/>
              </w:rPr>
              <w:t xml:space="preserve">of the </w:t>
            </w:r>
            <w:r w:rsidRPr="003E3558">
              <w:rPr>
                <w:rFonts w:ascii="Arial" w:hAnsi="Arial" w:cs="Arial"/>
              </w:rPr>
              <w:t>BGS T</w:t>
            </w:r>
            <w:r>
              <w:rPr>
                <w:rFonts w:ascii="Arial" w:hAnsi="Arial" w:cs="Arial"/>
              </w:rPr>
              <w:t xml:space="preserve">echnician </w:t>
            </w:r>
            <w:r w:rsidRPr="003E3558">
              <w:rPr>
                <w:rFonts w:ascii="Arial" w:hAnsi="Arial" w:cs="Arial"/>
              </w:rPr>
              <w:t>C</w:t>
            </w:r>
            <w:r>
              <w:rPr>
                <w:rFonts w:ascii="Arial" w:hAnsi="Arial" w:cs="Arial"/>
              </w:rPr>
              <w:t>ommitment</w:t>
            </w:r>
            <w:r w:rsidRPr="003E3558">
              <w:rPr>
                <w:rFonts w:ascii="Arial" w:hAnsi="Arial" w:cs="Arial"/>
              </w:rPr>
              <w:t xml:space="preserve"> Action Plan</w:t>
            </w:r>
          </w:p>
          <w:p w14:paraId="4D008A9F" w14:textId="6D636132" w:rsidR="00797497" w:rsidRPr="003E3558" w:rsidRDefault="00797497" w:rsidP="003E3558">
            <w:pPr>
              <w:pStyle w:val="ListParagraph"/>
              <w:numPr>
                <w:ilvl w:val="0"/>
                <w:numId w:val="3"/>
              </w:numPr>
              <w:ind w:left="604" w:hanging="244"/>
              <w:rPr>
                <w:rFonts w:ascii="Arial" w:hAnsi="Arial" w:cs="Arial"/>
              </w:rPr>
            </w:pPr>
            <w:r w:rsidRPr="003E3558">
              <w:rPr>
                <w:rFonts w:ascii="Arial" w:hAnsi="Arial" w:cs="Arial"/>
              </w:rPr>
              <w:t>Publi</w:t>
            </w:r>
            <w:r>
              <w:rPr>
                <w:rFonts w:ascii="Arial" w:hAnsi="Arial" w:cs="Arial"/>
              </w:rPr>
              <w:t>cation of the</w:t>
            </w:r>
            <w:r w:rsidRPr="003E3558">
              <w:rPr>
                <w:rFonts w:ascii="Arial" w:hAnsi="Arial" w:cs="Arial"/>
              </w:rPr>
              <w:t xml:space="preserve"> BGS T</w:t>
            </w:r>
            <w:r>
              <w:rPr>
                <w:rFonts w:ascii="Arial" w:hAnsi="Arial" w:cs="Arial"/>
              </w:rPr>
              <w:t xml:space="preserve">echnician </w:t>
            </w:r>
            <w:r w:rsidRPr="003E3558">
              <w:rPr>
                <w:rFonts w:ascii="Arial" w:hAnsi="Arial" w:cs="Arial"/>
              </w:rPr>
              <w:t>C</w:t>
            </w:r>
            <w:r>
              <w:rPr>
                <w:rFonts w:ascii="Arial" w:hAnsi="Arial" w:cs="Arial"/>
              </w:rPr>
              <w:t>ommitment</w:t>
            </w:r>
            <w:r w:rsidRPr="003E3558">
              <w:rPr>
                <w:rFonts w:ascii="Arial" w:hAnsi="Arial" w:cs="Arial"/>
              </w:rPr>
              <w:t xml:space="preserve"> website</w:t>
            </w:r>
          </w:p>
          <w:p w14:paraId="7262D7BF" w14:textId="49A7E27A" w:rsidR="00797497" w:rsidRDefault="00797497" w:rsidP="003E3558">
            <w:pPr>
              <w:pStyle w:val="ListParagraph"/>
              <w:numPr>
                <w:ilvl w:val="0"/>
                <w:numId w:val="3"/>
              </w:numPr>
              <w:ind w:left="604" w:hanging="244"/>
              <w:rPr>
                <w:rFonts w:ascii="Arial" w:hAnsi="Arial" w:cs="Arial"/>
              </w:rPr>
            </w:pPr>
            <w:r w:rsidRPr="003E3558">
              <w:rPr>
                <w:rFonts w:ascii="Arial" w:hAnsi="Arial" w:cs="Arial"/>
              </w:rPr>
              <w:t>Link</w:t>
            </w:r>
            <w:r>
              <w:rPr>
                <w:rFonts w:ascii="Arial" w:hAnsi="Arial" w:cs="Arial"/>
              </w:rPr>
              <w:t>ing of</w:t>
            </w:r>
            <w:r w:rsidRPr="003E3558">
              <w:rPr>
                <w:rFonts w:ascii="Arial" w:hAnsi="Arial" w:cs="Arial"/>
              </w:rPr>
              <w:t xml:space="preserve"> internal BGS Intranet pages </w:t>
            </w:r>
            <w:r>
              <w:rPr>
                <w:rFonts w:ascii="Arial" w:hAnsi="Arial" w:cs="Arial"/>
              </w:rPr>
              <w:t>with the</w:t>
            </w:r>
            <w:r w:rsidRPr="003E3558">
              <w:rPr>
                <w:rFonts w:ascii="Arial" w:hAnsi="Arial" w:cs="Arial"/>
              </w:rPr>
              <w:t xml:space="preserve"> BGS </w:t>
            </w:r>
            <w:r>
              <w:rPr>
                <w:rFonts w:ascii="Arial" w:hAnsi="Arial" w:cs="Arial"/>
              </w:rPr>
              <w:t xml:space="preserve">external </w:t>
            </w:r>
            <w:r w:rsidRPr="003E3558">
              <w:rPr>
                <w:rFonts w:ascii="Arial" w:hAnsi="Arial" w:cs="Arial"/>
              </w:rPr>
              <w:t>webpage</w:t>
            </w:r>
            <w:r>
              <w:rPr>
                <w:rFonts w:ascii="Arial" w:hAnsi="Arial" w:cs="Arial"/>
              </w:rPr>
              <w:t>s</w:t>
            </w:r>
          </w:p>
          <w:p w14:paraId="52DF8F31" w14:textId="6791D768" w:rsidR="00797497" w:rsidRPr="003E3558" w:rsidRDefault="00797497" w:rsidP="003E3558">
            <w:pPr>
              <w:pStyle w:val="ListParagraph"/>
              <w:numPr>
                <w:ilvl w:val="0"/>
                <w:numId w:val="3"/>
              </w:numPr>
              <w:ind w:left="604" w:hanging="244"/>
              <w:rPr>
                <w:rFonts w:ascii="Arial" w:hAnsi="Arial" w:cs="Arial"/>
              </w:rPr>
            </w:pPr>
            <w:r w:rsidRPr="003E3558">
              <w:rPr>
                <w:rFonts w:ascii="Arial" w:hAnsi="Arial" w:cs="Arial"/>
              </w:rPr>
              <w:t>Engage</w:t>
            </w:r>
            <w:r>
              <w:rPr>
                <w:rFonts w:ascii="Arial" w:hAnsi="Arial" w:cs="Arial"/>
              </w:rPr>
              <w:t>ment through</w:t>
            </w:r>
            <w:r w:rsidRPr="003E3558">
              <w:rPr>
                <w:rFonts w:ascii="Arial" w:hAnsi="Arial" w:cs="Arial"/>
              </w:rPr>
              <w:t xml:space="preserve"> press releases and social </w:t>
            </w:r>
            <w:r>
              <w:rPr>
                <w:rFonts w:ascii="Arial" w:hAnsi="Arial" w:cs="Arial"/>
              </w:rPr>
              <w:t xml:space="preserve">media </w:t>
            </w:r>
          </w:p>
        </w:tc>
      </w:tr>
      <w:tr w:rsidR="00797497" w14:paraId="66587624" w14:textId="2DFF78B1" w:rsidTr="008C7947">
        <w:tc>
          <w:tcPr>
            <w:tcW w:w="1805" w:type="dxa"/>
            <w:vMerge/>
            <w:shd w:val="clear" w:color="auto" w:fill="E7E6E6" w:themeFill="background2"/>
          </w:tcPr>
          <w:p w14:paraId="41654788" w14:textId="77777777" w:rsidR="00797497" w:rsidRPr="003E3558" w:rsidRDefault="00797497" w:rsidP="00CA5ECE">
            <w:pPr>
              <w:rPr>
                <w:rFonts w:ascii="Arial" w:hAnsi="Arial" w:cs="Arial"/>
                <w:b/>
                <w:bCs/>
              </w:rPr>
            </w:pPr>
          </w:p>
        </w:tc>
        <w:tc>
          <w:tcPr>
            <w:tcW w:w="3719" w:type="dxa"/>
          </w:tcPr>
          <w:p w14:paraId="657610A9" w14:textId="68B036DD" w:rsidR="00797497" w:rsidRDefault="00797497" w:rsidP="00CA5ECE">
            <w:r w:rsidRPr="00E96D8A">
              <w:rPr>
                <w:rFonts w:ascii="Arial" w:hAnsi="Arial" w:cs="Arial"/>
              </w:rPr>
              <w:t xml:space="preserve">Work to address any equality, </w:t>
            </w:r>
            <w:proofErr w:type="gramStart"/>
            <w:r w:rsidRPr="00E96D8A">
              <w:rPr>
                <w:rFonts w:ascii="Arial" w:hAnsi="Arial" w:cs="Arial"/>
              </w:rPr>
              <w:t>diversity</w:t>
            </w:r>
            <w:proofErr w:type="gramEnd"/>
            <w:r w:rsidRPr="00E96D8A">
              <w:rPr>
                <w:rFonts w:ascii="Arial" w:hAnsi="Arial" w:cs="Arial"/>
              </w:rPr>
              <w:t xml:space="preserve"> and inclusivity considerations for technical workforces through implementation of targeted technician specific initiatives, and/or ensuring inclusion within wider all-staff initiatives, such as those linked to Athena Swan and the Race Equality Charter</w:t>
            </w:r>
          </w:p>
        </w:tc>
        <w:tc>
          <w:tcPr>
            <w:tcW w:w="8079" w:type="dxa"/>
          </w:tcPr>
          <w:p w14:paraId="4B359C0B" w14:textId="1E1F1321" w:rsidR="00797497" w:rsidRPr="006B27CC" w:rsidRDefault="00797497" w:rsidP="006B27CC">
            <w:pPr>
              <w:pStyle w:val="ListParagraph"/>
              <w:numPr>
                <w:ilvl w:val="0"/>
                <w:numId w:val="1"/>
              </w:numPr>
              <w:ind w:left="178" w:hanging="218"/>
              <w:rPr>
                <w:rFonts w:ascii="Arial" w:hAnsi="Arial" w:cs="Arial"/>
              </w:rPr>
            </w:pPr>
            <w:r w:rsidRPr="006B27CC">
              <w:rPr>
                <w:rFonts w:ascii="Arial" w:hAnsi="Arial" w:cs="Arial"/>
              </w:rPr>
              <w:t>Ensure technical workforces are considered and equitably represented in all-staff initiatives such as Athena Swan</w:t>
            </w:r>
            <w:r>
              <w:rPr>
                <w:rFonts w:ascii="Arial" w:hAnsi="Arial" w:cs="Arial"/>
              </w:rPr>
              <w:t>. This will be done by</w:t>
            </w:r>
            <w:r w:rsidRPr="006B27CC">
              <w:rPr>
                <w:rFonts w:ascii="Arial" w:hAnsi="Arial" w:cs="Arial"/>
              </w:rPr>
              <w:t>:</w:t>
            </w:r>
          </w:p>
          <w:p w14:paraId="62B03114" w14:textId="108E2C99" w:rsidR="00797497" w:rsidRPr="006B27CC" w:rsidRDefault="00797497" w:rsidP="006B27CC">
            <w:pPr>
              <w:pStyle w:val="ListParagraph"/>
              <w:numPr>
                <w:ilvl w:val="0"/>
                <w:numId w:val="4"/>
              </w:numPr>
              <w:ind w:left="604" w:hanging="244"/>
              <w:rPr>
                <w:rFonts w:ascii="Arial" w:hAnsi="Arial" w:cs="Arial"/>
              </w:rPr>
            </w:pPr>
            <w:r w:rsidRPr="006B27CC">
              <w:rPr>
                <w:rFonts w:ascii="Arial" w:hAnsi="Arial" w:cs="Arial"/>
              </w:rPr>
              <w:t xml:space="preserve">linking </w:t>
            </w:r>
            <w:r>
              <w:rPr>
                <w:rFonts w:ascii="Arial" w:hAnsi="Arial" w:cs="Arial"/>
              </w:rPr>
              <w:t xml:space="preserve">promotion of the TC within BGS </w:t>
            </w:r>
            <w:r w:rsidRPr="006B27CC">
              <w:rPr>
                <w:rFonts w:ascii="Arial" w:hAnsi="Arial" w:cs="Arial"/>
              </w:rPr>
              <w:t>with new starters induction training</w:t>
            </w:r>
          </w:p>
          <w:p w14:paraId="7D69FE94" w14:textId="5C5ABC46" w:rsidR="00797497" w:rsidRDefault="00797497" w:rsidP="006B27CC">
            <w:pPr>
              <w:pStyle w:val="ListParagraph"/>
              <w:numPr>
                <w:ilvl w:val="0"/>
                <w:numId w:val="4"/>
              </w:numPr>
              <w:ind w:left="604" w:hanging="244"/>
            </w:pPr>
            <w:r w:rsidRPr="006B27CC">
              <w:rPr>
                <w:rFonts w:ascii="Arial" w:hAnsi="Arial" w:cs="Arial"/>
              </w:rPr>
              <w:t>encouraging participation of technical staff in corporate committees and all staff initiatives such as BGS and UKRI-wide surveys</w:t>
            </w:r>
            <w:r>
              <w:rPr>
                <w:rFonts w:ascii="Arial" w:hAnsi="Arial" w:cs="Arial"/>
              </w:rPr>
              <w:t>, Athena Swan accreditation</w:t>
            </w:r>
            <w:r w:rsidRPr="006B27CC">
              <w:rPr>
                <w:rFonts w:ascii="Arial" w:hAnsi="Arial" w:cs="Arial"/>
              </w:rPr>
              <w:t xml:space="preserve"> </w:t>
            </w:r>
          </w:p>
        </w:tc>
      </w:tr>
      <w:tr w:rsidR="00797497" w14:paraId="406C29DE" w14:textId="126437F7" w:rsidTr="008C7947">
        <w:tc>
          <w:tcPr>
            <w:tcW w:w="1805" w:type="dxa"/>
            <w:vMerge/>
            <w:shd w:val="clear" w:color="auto" w:fill="E7E6E6" w:themeFill="background2"/>
          </w:tcPr>
          <w:p w14:paraId="6AB91F03" w14:textId="77777777" w:rsidR="00797497" w:rsidRPr="003E3558" w:rsidRDefault="00797497" w:rsidP="00CA5ECE">
            <w:pPr>
              <w:rPr>
                <w:rFonts w:ascii="Arial" w:hAnsi="Arial" w:cs="Arial"/>
                <w:b/>
                <w:bCs/>
              </w:rPr>
            </w:pPr>
          </w:p>
        </w:tc>
        <w:tc>
          <w:tcPr>
            <w:tcW w:w="3719" w:type="dxa"/>
          </w:tcPr>
          <w:p w14:paraId="5AE7B16C" w14:textId="5BD0AE9E" w:rsidR="00797497" w:rsidRDefault="00797497" w:rsidP="00CA5ECE">
            <w:r w:rsidRPr="00E96D8A">
              <w:rPr>
                <w:rFonts w:ascii="Arial" w:hAnsi="Arial" w:cs="Arial"/>
              </w:rPr>
              <w:t>Identify routes for, and develop, community building where communities are not well served by existing professional registration opportunities and associations</w:t>
            </w:r>
          </w:p>
        </w:tc>
        <w:tc>
          <w:tcPr>
            <w:tcW w:w="8079" w:type="dxa"/>
          </w:tcPr>
          <w:p w14:paraId="501B9FB0" w14:textId="77777777" w:rsidR="00797497" w:rsidRPr="004E1E44" w:rsidRDefault="00797497" w:rsidP="004E1E44">
            <w:pPr>
              <w:pStyle w:val="ListParagraph"/>
              <w:numPr>
                <w:ilvl w:val="0"/>
                <w:numId w:val="1"/>
              </w:numPr>
              <w:ind w:left="178" w:hanging="218"/>
            </w:pPr>
            <w:r w:rsidRPr="004E1E44">
              <w:rPr>
                <w:rFonts w:ascii="Arial" w:hAnsi="Arial" w:cs="Arial"/>
              </w:rPr>
              <w:t>Identify opportunities available to technicians for professional registration and highlight the benefits</w:t>
            </w:r>
            <w:r>
              <w:rPr>
                <w:rFonts w:ascii="Arial" w:hAnsi="Arial" w:cs="Arial"/>
              </w:rPr>
              <w:t xml:space="preserve">. </w:t>
            </w:r>
          </w:p>
          <w:p w14:paraId="7951BA09" w14:textId="22BDF0B7" w:rsidR="00797497" w:rsidRPr="004E1E44" w:rsidRDefault="00797497" w:rsidP="004E1E44">
            <w:pPr>
              <w:pStyle w:val="ListParagraph"/>
              <w:numPr>
                <w:ilvl w:val="0"/>
                <w:numId w:val="5"/>
              </w:numPr>
              <w:ind w:left="604" w:hanging="284"/>
            </w:pPr>
            <w:r>
              <w:rPr>
                <w:rFonts w:ascii="Arial" w:hAnsi="Arial" w:cs="Arial"/>
              </w:rPr>
              <w:t xml:space="preserve">Advertise opportunities via internal </w:t>
            </w:r>
            <w:proofErr w:type="gramStart"/>
            <w:r>
              <w:rPr>
                <w:rFonts w:ascii="Arial" w:hAnsi="Arial" w:cs="Arial"/>
              </w:rPr>
              <w:t>communications</w:t>
            </w:r>
            <w:proofErr w:type="gramEnd"/>
            <w:r>
              <w:rPr>
                <w:rFonts w:ascii="Arial" w:hAnsi="Arial" w:cs="Arial"/>
              </w:rPr>
              <w:t xml:space="preserve"> </w:t>
            </w:r>
          </w:p>
          <w:p w14:paraId="058E5554" w14:textId="4A1095DA" w:rsidR="00797497" w:rsidRDefault="00797497" w:rsidP="004E1E44">
            <w:pPr>
              <w:pStyle w:val="ListParagraph"/>
              <w:numPr>
                <w:ilvl w:val="0"/>
                <w:numId w:val="5"/>
              </w:numPr>
              <w:ind w:left="604" w:hanging="284"/>
            </w:pPr>
            <w:r w:rsidRPr="004E1E44">
              <w:rPr>
                <w:rFonts w:ascii="Arial" w:hAnsi="Arial" w:cs="Arial"/>
              </w:rPr>
              <w:t>Support technician specific meetings and networking through existing internal funding mechanisms</w:t>
            </w:r>
          </w:p>
        </w:tc>
      </w:tr>
      <w:tr w:rsidR="00797497" w14:paraId="0942FB89" w14:textId="52BB16E2" w:rsidTr="008C7947">
        <w:tc>
          <w:tcPr>
            <w:tcW w:w="1805" w:type="dxa"/>
            <w:vMerge/>
            <w:shd w:val="clear" w:color="auto" w:fill="E7E6E6" w:themeFill="background2"/>
          </w:tcPr>
          <w:p w14:paraId="108F05E3" w14:textId="77777777" w:rsidR="00797497" w:rsidRPr="003E3558" w:rsidRDefault="00797497" w:rsidP="00CA5ECE">
            <w:pPr>
              <w:rPr>
                <w:rFonts w:ascii="Arial" w:hAnsi="Arial" w:cs="Arial"/>
                <w:b/>
                <w:bCs/>
              </w:rPr>
            </w:pPr>
          </w:p>
        </w:tc>
        <w:tc>
          <w:tcPr>
            <w:tcW w:w="3719" w:type="dxa"/>
          </w:tcPr>
          <w:p w14:paraId="59E19FF1" w14:textId="604B3E6C" w:rsidR="00797497" w:rsidRDefault="00797497" w:rsidP="00CA5ECE">
            <w:r w:rsidRPr="00E96D8A">
              <w:rPr>
                <w:rFonts w:ascii="Arial" w:hAnsi="Arial" w:cs="Arial"/>
              </w:rPr>
              <w:t>Ensure that the technical voice is well represented and accessible to internal stakeholders such as HR and research culture teams</w:t>
            </w:r>
          </w:p>
        </w:tc>
        <w:tc>
          <w:tcPr>
            <w:tcW w:w="8079" w:type="dxa"/>
            <w:shd w:val="clear" w:color="auto" w:fill="BDD6EE" w:themeFill="accent5" w:themeFillTint="66"/>
          </w:tcPr>
          <w:p w14:paraId="41A69FB5" w14:textId="2130DCEE" w:rsidR="00797497" w:rsidRPr="004E1E44" w:rsidRDefault="00797497" w:rsidP="004E1E44">
            <w:pPr>
              <w:pStyle w:val="ListParagraph"/>
              <w:numPr>
                <w:ilvl w:val="0"/>
                <w:numId w:val="1"/>
              </w:numPr>
              <w:ind w:left="178" w:hanging="218"/>
              <w:rPr>
                <w:rFonts w:ascii="Arial" w:hAnsi="Arial" w:cs="Arial"/>
              </w:rPr>
            </w:pPr>
            <w:r w:rsidRPr="004E1E44">
              <w:rPr>
                <w:rFonts w:ascii="Arial" w:hAnsi="Arial" w:cs="Arial"/>
              </w:rPr>
              <w:t>Ensure visibility of technical workforce within BGS.  Highlight breadth of technical roles to ensure wider awareness and visibility of these roles available at BGS</w:t>
            </w:r>
            <w:r>
              <w:rPr>
                <w:rFonts w:ascii="Arial" w:hAnsi="Arial" w:cs="Arial"/>
              </w:rPr>
              <w:t>. To do this it is important to</w:t>
            </w:r>
            <w:r w:rsidRPr="004E1E44">
              <w:rPr>
                <w:rFonts w:ascii="Arial" w:hAnsi="Arial" w:cs="Arial"/>
              </w:rPr>
              <w:t>:</w:t>
            </w:r>
          </w:p>
          <w:p w14:paraId="1878BD86" w14:textId="58E9407D" w:rsidR="00797497" w:rsidRPr="00944849" w:rsidRDefault="00797497" w:rsidP="004E1E44">
            <w:pPr>
              <w:pStyle w:val="ListParagraph"/>
              <w:numPr>
                <w:ilvl w:val="0"/>
                <w:numId w:val="6"/>
              </w:numPr>
              <w:ind w:left="604" w:hanging="244"/>
              <w:rPr>
                <w:rFonts w:ascii="Arial" w:hAnsi="Arial" w:cs="Arial"/>
              </w:rPr>
            </w:pPr>
            <w:r w:rsidRPr="00944849">
              <w:rPr>
                <w:rFonts w:ascii="Arial" w:hAnsi="Arial" w:cs="Arial"/>
              </w:rPr>
              <w:t>review numbers of technicians using BGS’s definition of a technician. This may include explor</w:t>
            </w:r>
            <w:r>
              <w:rPr>
                <w:rFonts w:ascii="Arial" w:hAnsi="Arial" w:cs="Arial"/>
              </w:rPr>
              <w:t>ing</w:t>
            </w:r>
            <w:r w:rsidRPr="00944849">
              <w:rPr>
                <w:rFonts w:ascii="Arial" w:hAnsi="Arial" w:cs="Arial"/>
              </w:rPr>
              <w:t xml:space="preserve"> self-identification of technical staff </w:t>
            </w:r>
            <w:r>
              <w:rPr>
                <w:rFonts w:ascii="Arial" w:hAnsi="Arial" w:cs="Arial"/>
              </w:rPr>
              <w:t>during staff appraisals.</w:t>
            </w:r>
          </w:p>
          <w:p w14:paraId="6B0B6BFC" w14:textId="17D9084A" w:rsidR="00797497" w:rsidRPr="004E1E44" w:rsidRDefault="00797497" w:rsidP="004E1E44">
            <w:pPr>
              <w:pStyle w:val="ListParagraph"/>
              <w:numPr>
                <w:ilvl w:val="0"/>
                <w:numId w:val="6"/>
              </w:numPr>
              <w:ind w:left="604" w:hanging="244"/>
              <w:rPr>
                <w:rFonts w:ascii="Arial" w:hAnsi="Arial" w:cs="Arial"/>
              </w:rPr>
            </w:pPr>
            <w:r>
              <w:rPr>
                <w:rFonts w:ascii="Arial" w:hAnsi="Arial" w:cs="Arial"/>
              </w:rPr>
              <w:t>r</w:t>
            </w:r>
            <w:r w:rsidRPr="004E1E44">
              <w:rPr>
                <w:rFonts w:ascii="Arial" w:hAnsi="Arial" w:cs="Arial"/>
              </w:rPr>
              <w:t xml:space="preserve">eflect breadth of technical roles on the BGS Intranet and provide contact points for </w:t>
            </w:r>
            <w:proofErr w:type="gramStart"/>
            <w:r w:rsidRPr="004E1E44">
              <w:rPr>
                <w:rFonts w:ascii="Arial" w:hAnsi="Arial" w:cs="Arial"/>
              </w:rPr>
              <w:t>staff</w:t>
            </w:r>
            <w:proofErr w:type="gramEnd"/>
          </w:p>
          <w:p w14:paraId="303A8621" w14:textId="075BD780" w:rsidR="00797497" w:rsidRDefault="00797497" w:rsidP="004E1E44">
            <w:pPr>
              <w:pStyle w:val="ListParagraph"/>
              <w:numPr>
                <w:ilvl w:val="0"/>
                <w:numId w:val="6"/>
              </w:numPr>
              <w:ind w:left="604" w:hanging="244"/>
              <w:rPr>
                <w:rFonts w:ascii="Arial" w:hAnsi="Arial" w:cs="Arial"/>
              </w:rPr>
            </w:pPr>
            <w:r>
              <w:rPr>
                <w:rFonts w:ascii="Arial" w:hAnsi="Arial" w:cs="Arial"/>
              </w:rPr>
              <w:t>en</w:t>
            </w:r>
            <w:r w:rsidRPr="004E1E44">
              <w:rPr>
                <w:rFonts w:ascii="Arial" w:hAnsi="Arial" w:cs="Arial"/>
              </w:rPr>
              <w:t xml:space="preserve">courage technical representation on various BGS and UKRI-wide </w:t>
            </w:r>
            <w:proofErr w:type="gramStart"/>
            <w:r w:rsidRPr="004E1E44">
              <w:rPr>
                <w:rFonts w:ascii="Arial" w:hAnsi="Arial" w:cs="Arial"/>
              </w:rPr>
              <w:t>teams</w:t>
            </w:r>
            <w:proofErr w:type="gramEnd"/>
            <w:r w:rsidRPr="004E1E44">
              <w:rPr>
                <w:rFonts w:ascii="Arial" w:hAnsi="Arial" w:cs="Arial"/>
              </w:rPr>
              <w:t xml:space="preserve"> </w:t>
            </w:r>
          </w:p>
          <w:p w14:paraId="3FC1CF85" w14:textId="4A180146" w:rsidR="00797497" w:rsidRDefault="00797497" w:rsidP="008C7947">
            <w:pPr>
              <w:pStyle w:val="ListParagraph"/>
              <w:numPr>
                <w:ilvl w:val="0"/>
                <w:numId w:val="6"/>
              </w:numPr>
              <w:ind w:left="604" w:hanging="244"/>
            </w:pPr>
            <w:r>
              <w:rPr>
                <w:rFonts w:ascii="Arial" w:hAnsi="Arial" w:cs="Arial"/>
              </w:rPr>
              <w:t>lunchtime lecture on Technician Commitment</w:t>
            </w:r>
          </w:p>
        </w:tc>
      </w:tr>
      <w:tr w:rsidR="00797497" w14:paraId="7D34A732" w14:textId="69F3FF05" w:rsidTr="008C7947">
        <w:tc>
          <w:tcPr>
            <w:tcW w:w="1805" w:type="dxa"/>
            <w:vMerge/>
            <w:shd w:val="clear" w:color="auto" w:fill="E7E6E6" w:themeFill="background2"/>
          </w:tcPr>
          <w:p w14:paraId="69B85E8E" w14:textId="77777777" w:rsidR="00797497" w:rsidRPr="003E3558" w:rsidRDefault="00797497" w:rsidP="00CA5ECE">
            <w:pPr>
              <w:rPr>
                <w:rFonts w:ascii="Arial" w:hAnsi="Arial" w:cs="Arial"/>
                <w:b/>
                <w:bCs/>
              </w:rPr>
            </w:pPr>
          </w:p>
        </w:tc>
        <w:tc>
          <w:tcPr>
            <w:tcW w:w="3719" w:type="dxa"/>
          </w:tcPr>
          <w:p w14:paraId="611058BB" w14:textId="36D01A0F" w:rsidR="00797497" w:rsidRDefault="00797497" w:rsidP="00CA5ECE">
            <w:r w:rsidRPr="00E96D8A">
              <w:rPr>
                <w:rFonts w:ascii="Arial" w:hAnsi="Arial" w:cs="Arial"/>
              </w:rPr>
              <w:t xml:space="preserve">Encourage and support events for visibility, </w:t>
            </w:r>
            <w:proofErr w:type="gramStart"/>
            <w:r w:rsidRPr="00E96D8A">
              <w:rPr>
                <w:rFonts w:ascii="Arial" w:hAnsi="Arial" w:cs="Arial"/>
              </w:rPr>
              <w:t>outreach</w:t>
            </w:r>
            <w:proofErr w:type="gramEnd"/>
            <w:r w:rsidRPr="00E96D8A">
              <w:rPr>
                <w:rFonts w:ascii="Arial" w:hAnsi="Arial" w:cs="Arial"/>
              </w:rPr>
              <w:t xml:space="preserve"> and public engagement specifically for and/or including technical staff including showcase events, conferences, public engagement, open days, visits to local schools and colleges, T-level placements (England) and work experience placements</w:t>
            </w:r>
          </w:p>
        </w:tc>
        <w:tc>
          <w:tcPr>
            <w:tcW w:w="8079" w:type="dxa"/>
          </w:tcPr>
          <w:p w14:paraId="68847B07" w14:textId="0AA341BA" w:rsidR="00797497" w:rsidRPr="006105E6" w:rsidRDefault="00797497" w:rsidP="006105E6">
            <w:pPr>
              <w:pStyle w:val="ListParagraph"/>
              <w:numPr>
                <w:ilvl w:val="0"/>
                <w:numId w:val="1"/>
              </w:numPr>
              <w:ind w:left="178" w:hanging="218"/>
              <w:rPr>
                <w:rFonts w:ascii="Arial" w:hAnsi="Arial" w:cs="Arial"/>
              </w:rPr>
            </w:pPr>
            <w:r w:rsidRPr="006105E6">
              <w:rPr>
                <w:rFonts w:ascii="Arial" w:hAnsi="Arial" w:cs="Arial"/>
              </w:rPr>
              <w:t xml:space="preserve">Proactively promote, </w:t>
            </w:r>
            <w:proofErr w:type="gramStart"/>
            <w:r w:rsidRPr="006105E6">
              <w:rPr>
                <w:rFonts w:ascii="Arial" w:hAnsi="Arial" w:cs="Arial"/>
              </w:rPr>
              <w:t>encourage</w:t>
            </w:r>
            <w:proofErr w:type="gramEnd"/>
            <w:r w:rsidRPr="006105E6">
              <w:rPr>
                <w:rFonts w:ascii="Arial" w:hAnsi="Arial" w:cs="Arial"/>
              </w:rPr>
              <w:t xml:space="preserve"> and monitor involvement of technicians in outreach and engagement activities</w:t>
            </w:r>
            <w:r>
              <w:rPr>
                <w:rFonts w:ascii="Arial" w:hAnsi="Arial" w:cs="Arial"/>
              </w:rPr>
              <w:t>. This will be achieved through</w:t>
            </w:r>
            <w:r w:rsidRPr="006105E6">
              <w:rPr>
                <w:rFonts w:ascii="Arial" w:hAnsi="Arial" w:cs="Arial"/>
              </w:rPr>
              <w:t>:</w:t>
            </w:r>
          </w:p>
          <w:p w14:paraId="3D70A39E" w14:textId="1728E267" w:rsidR="00797497" w:rsidRPr="006105E6" w:rsidRDefault="00797497" w:rsidP="006105E6">
            <w:pPr>
              <w:pStyle w:val="ListParagraph"/>
              <w:numPr>
                <w:ilvl w:val="0"/>
                <w:numId w:val="7"/>
              </w:numPr>
              <w:ind w:left="604" w:hanging="244"/>
              <w:rPr>
                <w:rFonts w:ascii="Arial" w:hAnsi="Arial" w:cs="Arial"/>
              </w:rPr>
            </w:pPr>
            <w:r w:rsidRPr="006105E6">
              <w:rPr>
                <w:rFonts w:ascii="Arial" w:hAnsi="Arial" w:cs="Arial"/>
              </w:rPr>
              <w:t>equitable allocation of support for conference</w:t>
            </w:r>
            <w:r>
              <w:rPr>
                <w:rFonts w:ascii="Arial" w:hAnsi="Arial" w:cs="Arial"/>
              </w:rPr>
              <w:t xml:space="preserve"> attendance</w:t>
            </w:r>
          </w:p>
          <w:p w14:paraId="2541C9B4" w14:textId="06A8FCA1" w:rsidR="00797497" w:rsidRPr="006105E6" w:rsidRDefault="00797497" w:rsidP="006105E6">
            <w:pPr>
              <w:pStyle w:val="ListParagraph"/>
              <w:numPr>
                <w:ilvl w:val="0"/>
                <w:numId w:val="7"/>
              </w:numPr>
              <w:ind w:left="604" w:hanging="244"/>
              <w:rPr>
                <w:rFonts w:ascii="Arial" w:hAnsi="Arial" w:cs="Arial"/>
              </w:rPr>
            </w:pPr>
            <w:r w:rsidRPr="006105E6">
              <w:rPr>
                <w:rFonts w:ascii="Arial" w:hAnsi="Arial" w:cs="Arial"/>
              </w:rPr>
              <w:t>explor</w:t>
            </w:r>
            <w:r>
              <w:rPr>
                <w:rFonts w:ascii="Arial" w:hAnsi="Arial" w:cs="Arial"/>
              </w:rPr>
              <w:t>ing</w:t>
            </w:r>
            <w:r w:rsidRPr="006105E6">
              <w:rPr>
                <w:rFonts w:ascii="Arial" w:hAnsi="Arial" w:cs="Arial"/>
              </w:rPr>
              <w:t xml:space="preserve"> internal and external placements for students and BGS staff</w:t>
            </w:r>
          </w:p>
          <w:p w14:paraId="4B28F465" w14:textId="63F4A666" w:rsidR="00797497" w:rsidRDefault="00797497" w:rsidP="006105E6">
            <w:pPr>
              <w:pStyle w:val="ListParagraph"/>
              <w:numPr>
                <w:ilvl w:val="0"/>
                <w:numId w:val="7"/>
              </w:numPr>
              <w:ind w:left="604" w:hanging="244"/>
            </w:pPr>
            <w:r w:rsidRPr="006105E6">
              <w:rPr>
                <w:rFonts w:ascii="Arial" w:hAnsi="Arial" w:cs="Arial"/>
              </w:rPr>
              <w:t xml:space="preserve">use </w:t>
            </w:r>
            <w:r>
              <w:rPr>
                <w:rFonts w:ascii="Arial" w:hAnsi="Arial" w:cs="Arial"/>
              </w:rPr>
              <w:t xml:space="preserve">of </w:t>
            </w:r>
            <w:r w:rsidRPr="006105E6">
              <w:rPr>
                <w:rFonts w:ascii="Arial" w:hAnsi="Arial" w:cs="Arial"/>
              </w:rPr>
              <w:t>BGS T</w:t>
            </w:r>
            <w:r>
              <w:rPr>
                <w:rFonts w:ascii="Arial" w:hAnsi="Arial" w:cs="Arial"/>
              </w:rPr>
              <w:t xml:space="preserve">echnician </w:t>
            </w:r>
            <w:r w:rsidRPr="006105E6">
              <w:rPr>
                <w:rFonts w:ascii="Arial" w:hAnsi="Arial" w:cs="Arial"/>
              </w:rPr>
              <w:t>C</w:t>
            </w:r>
            <w:r>
              <w:rPr>
                <w:rFonts w:ascii="Arial" w:hAnsi="Arial" w:cs="Arial"/>
              </w:rPr>
              <w:t>ommitment</w:t>
            </w:r>
            <w:r w:rsidRPr="006105E6">
              <w:rPr>
                <w:rFonts w:ascii="Arial" w:hAnsi="Arial" w:cs="Arial"/>
              </w:rPr>
              <w:t xml:space="preserve"> website to ensure information is accessible and visible to all staff</w:t>
            </w:r>
          </w:p>
        </w:tc>
      </w:tr>
      <w:tr w:rsidR="00797497" w14:paraId="56135F76" w14:textId="0CAD9C26" w:rsidTr="008C7947">
        <w:tc>
          <w:tcPr>
            <w:tcW w:w="1805" w:type="dxa"/>
            <w:vMerge/>
            <w:shd w:val="clear" w:color="auto" w:fill="E7E6E6" w:themeFill="background2"/>
          </w:tcPr>
          <w:p w14:paraId="67FF2791" w14:textId="77777777" w:rsidR="00797497" w:rsidRPr="003E3558" w:rsidRDefault="00797497" w:rsidP="00CA5ECE">
            <w:pPr>
              <w:rPr>
                <w:rFonts w:ascii="Arial" w:hAnsi="Arial" w:cs="Arial"/>
                <w:b/>
                <w:bCs/>
              </w:rPr>
            </w:pPr>
          </w:p>
        </w:tc>
        <w:tc>
          <w:tcPr>
            <w:tcW w:w="3719" w:type="dxa"/>
          </w:tcPr>
          <w:p w14:paraId="429DD000" w14:textId="0D1E4028" w:rsidR="00797497" w:rsidRDefault="00797497" w:rsidP="00CA5ECE">
            <w:r w:rsidRPr="00E96D8A">
              <w:rPr>
                <w:rFonts w:ascii="Arial" w:hAnsi="Arial" w:cs="Arial"/>
              </w:rPr>
              <w:t xml:space="preserve">Embed recognition for and visibility of technicians into BGS website showcasing the success and contributions of our technical communities + Mechanism for celebrating technician achievements across the organisation </w:t>
            </w:r>
          </w:p>
        </w:tc>
        <w:tc>
          <w:tcPr>
            <w:tcW w:w="8079" w:type="dxa"/>
          </w:tcPr>
          <w:p w14:paraId="5C8FFFA4" w14:textId="59CD70EC" w:rsidR="00797497" w:rsidRPr="003B02A8" w:rsidRDefault="00797497" w:rsidP="003B02A8">
            <w:pPr>
              <w:pStyle w:val="ListParagraph"/>
              <w:numPr>
                <w:ilvl w:val="0"/>
                <w:numId w:val="1"/>
              </w:numPr>
              <w:ind w:left="178" w:hanging="218"/>
              <w:rPr>
                <w:rFonts w:ascii="Arial" w:hAnsi="Arial" w:cs="Arial"/>
              </w:rPr>
            </w:pPr>
            <w:r w:rsidRPr="003B02A8">
              <w:rPr>
                <w:rFonts w:ascii="Arial" w:hAnsi="Arial" w:cs="Arial"/>
              </w:rPr>
              <w:t xml:space="preserve">Ensure BGS Technician Commitment webpage is kept up to date, including with current events and contributions of technicians </w:t>
            </w:r>
            <w:proofErr w:type="gramStart"/>
            <w:r w:rsidRPr="003B02A8">
              <w:rPr>
                <w:rFonts w:ascii="Arial" w:hAnsi="Arial" w:cs="Arial"/>
              </w:rPr>
              <w:t>in order to</w:t>
            </w:r>
            <w:proofErr w:type="gramEnd"/>
            <w:r w:rsidRPr="003B02A8">
              <w:rPr>
                <w:rFonts w:ascii="Arial" w:hAnsi="Arial" w:cs="Arial"/>
              </w:rPr>
              <w:t>:</w:t>
            </w:r>
          </w:p>
          <w:p w14:paraId="1B4F30DD" w14:textId="77777777" w:rsidR="00797497" w:rsidRDefault="00797497" w:rsidP="00CA5ECE">
            <w:pPr>
              <w:rPr>
                <w:rFonts w:ascii="Arial" w:hAnsi="Arial" w:cs="Arial"/>
              </w:rPr>
            </w:pPr>
            <w:r>
              <w:rPr>
                <w:rFonts w:ascii="Arial" w:hAnsi="Arial" w:cs="Arial"/>
              </w:rPr>
              <w:t>- celebrate successes and advertise technical award opportunities</w:t>
            </w:r>
          </w:p>
          <w:p w14:paraId="4812528B" w14:textId="77777777" w:rsidR="00797497" w:rsidRDefault="00797497" w:rsidP="00CA5ECE">
            <w:pPr>
              <w:rPr>
                <w:rFonts w:ascii="Arial" w:hAnsi="Arial" w:cs="Arial"/>
              </w:rPr>
            </w:pPr>
            <w:r>
              <w:rPr>
                <w:rFonts w:ascii="Arial" w:hAnsi="Arial" w:cs="Arial"/>
              </w:rPr>
              <w:t>- include technicians in BGS’s video output and other key comms channels</w:t>
            </w:r>
          </w:p>
          <w:p w14:paraId="3B41602D" w14:textId="3B9DBFA7" w:rsidR="00797497" w:rsidRDefault="00797497" w:rsidP="00CA5ECE"/>
        </w:tc>
      </w:tr>
      <w:tr w:rsidR="00797497" w14:paraId="4E3F1E1E" w14:textId="321173E1" w:rsidTr="008C7947">
        <w:tc>
          <w:tcPr>
            <w:tcW w:w="1805" w:type="dxa"/>
            <w:vMerge/>
            <w:shd w:val="clear" w:color="auto" w:fill="E7E6E6" w:themeFill="background2"/>
          </w:tcPr>
          <w:p w14:paraId="404205CA" w14:textId="77777777" w:rsidR="00797497" w:rsidRPr="003E3558" w:rsidRDefault="00797497" w:rsidP="00CA5ECE">
            <w:pPr>
              <w:rPr>
                <w:rFonts w:ascii="Arial" w:hAnsi="Arial" w:cs="Arial"/>
                <w:b/>
                <w:bCs/>
              </w:rPr>
            </w:pPr>
          </w:p>
        </w:tc>
        <w:tc>
          <w:tcPr>
            <w:tcW w:w="3719" w:type="dxa"/>
          </w:tcPr>
          <w:p w14:paraId="3FE4DAA5" w14:textId="579C6639" w:rsidR="00797497" w:rsidRDefault="00797497" w:rsidP="00CA5ECE">
            <w:r w:rsidRPr="00E96D8A">
              <w:rPr>
                <w:rFonts w:ascii="Arial" w:hAnsi="Arial" w:cs="Arial"/>
              </w:rPr>
              <w:t>Develop internal technician communities</w:t>
            </w:r>
          </w:p>
        </w:tc>
        <w:tc>
          <w:tcPr>
            <w:tcW w:w="8079" w:type="dxa"/>
            <w:shd w:val="clear" w:color="auto" w:fill="BDD6EE" w:themeFill="accent5" w:themeFillTint="66"/>
          </w:tcPr>
          <w:p w14:paraId="49A4B1A0" w14:textId="0470571C" w:rsidR="00797497" w:rsidRDefault="00797497" w:rsidP="003B02A8">
            <w:pPr>
              <w:pStyle w:val="ListParagraph"/>
              <w:numPr>
                <w:ilvl w:val="0"/>
                <w:numId w:val="1"/>
              </w:numPr>
              <w:ind w:left="178" w:hanging="218"/>
            </w:pPr>
            <w:r w:rsidRPr="003B02A8">
              <w:rPr>
                <w:rFonts w:ascii="Arial" w:hAnsi="Arial" w:cs="Arial"/>
              </w:rPr>
              <w:t>Set up Technician Commitment network and poll for membership across BGS. To include creation of an MS Teams site to promote informal communication and social networking activities/coffee mornings.</w:t>
            </w:r>
          </w:p>
        </w:tc>
      </w:tr>
      <w:tr w:rsidR="00797497" w14:paraId="4D65A68D" w14:textId="60CC92DA" w:rsidTr="008C7947">
        <w:tc>
          <w:tcPr>
            <w:tcW w:w="1805" w:type="dxa"/>
            <w:vMerge w:val="restart"/>
            <w:shd w:val="clear" w:color="auto" w:fill="E7E6E6" w:themeFill="background2"/>
          </w:tcPr>
          <w:p w14:paraId="37676D20" w14:textId="348428AA" w:rsidR="00797497" w:rsidRPr="003E3558" w:rsidRDefault="00797497" w:rsidP="00CA5ECE">
            <w:pPr>
              <w:rPr>
                <w:rFonts w:ascii="Arial" w:hAnsi="Arial" w:cs="Arial"/>
                <w:b/>
                <w:bCs/>
              </w:rPr>
            </w:pPr>
            <w:r w:rsidRPr="003E3558">
              <w:rPr>
                <w:rFonts w:ascii="Arial" w:hAnsi="Arial" w:cs="Arial"/>
                <w:b/>
                <w:bCs/>
              </w:rPr>
              <w:t>Recognition</w:t>
            </w:r>
          </w:p>
        </w:tc>
        <w:tc>
          <w:tcPr>
            <w:tcW w:w="3719" w:type="dxa"/>
          </w:tcPr>
          <w:p w14:paraId="15D23148" w14:textId="02F69311" w:rsidR="00797497" w:rsidRDefault="00797497" w:rsidP="00CA5ECE">
            <w:r w:rsidRPr="00E96D8A">
              <w:rPr>
                <w:rFonts w:ascii="Arial" w:hAnsi="Arial" w:cs="Arial"/>
              </w:rPr>
              <w:t>Develop an understanding of, and a consistent framework for, the identification of and recognition of contributions of technicians</w:t>
            </w:r>
          </w:p>
        </w:tc>
        <w:tc>
          <w:tcPr>
            <w:tcW w:w="8079" w:type="dxa"/>
            <w:shd w:val="clear" w:color="auto" w:fill="BDD6EE" w:themeFill="accent5" w:themeFillTint="66"/>
          </w:tcPr>
          <w:p w14:paraId="4874B75C" w14:textId="154292D3" w:rsidR="00797497" w:rsidRPr="003B02A8" w:rsidRDefault="00797497" w:rsidP="003B02A8">
            <w:pPr>
              <w:pStyle w:val="ListParagraph"/>
              <w:numPr>
                <w:ilvl w:val="0"/>
                <w:numId w:val="1"/>
              </w:numPr>
              <w:ind w:left="178" w:hanging="218"/>
              <w:rPr>
                <w:rFonts w:ascii="Arial" w:hAnsi="Arial" w:cs="Arial"/>
              </w:rPr>
            </w:pPr>
            <w:r w:rsidRPr="003B02A8">
              <w:rPr>
                <w:rFonts w:ascii="Arial" w:hAnsi="Arial" w:cs="Arial"/>
              </w:rPr>
              <w:t>Review and advertise range of skills and expertise offered by BGS technicians across different disciplines to enable recognition of contribution of technicians</w:t>
            </w:r>
            <w:r>
              <w:rPr>
                <w:rFonts w:ascii="Arial" w:hAnsi="Arial" w:cs="Arial"/>
              </w:rPr>
              <w:t xml:space="preserve">. To achieve </w:t>
            </w:r>
            <w:proofErr w:type="gramStart"/>
            <w:r>
              <w:rPr>
                <w:rFonts w:ascii="Arial" w:hAnsi="Arial" w:cs="Arial"/>
              </w:rPr>
              <w:t>this</w:t>
            </w:r>
            <w:proofErr w:type="gramEnd"/>
            <w:r>
              <w:rPr>
                <w:rFonts w:ascii="Arial" w:hAnsi="Arial" w:cs="Arial"/>
              </w:rPr>
              <w:t xml:space="preserve"> we will need to</w:t>
            </w:r>
            <w:r w:rsidRPr="003B02A8">
              <w:rPr>
                <w:rFonts w:ascii="Arial" w:hAnsi="Arial" w:cs="Arial"/>
              </w:rPr>
              <w:t>:</w:t>
            </w:r>
          </w:p>
          <w:p w14:paraId="40AB2981" w14:textId="53E1CA19" w:rsidR="00797497" w:rsidRPr="003B02A8" w:rsidRDefault="00797497" w:rsidP="003B02A8">
            <w:pPr>
              <w:pStyle w:val="ListParagraph"/>
              <w:numPr>
                <w:ilvl w:val="0"/>
                <w:numId w:val="8"/>
              </w:numPr>
              <w:ind w:left="604" w:hanging="244"/>
              <w:rPr>
                <w:rFonts w:ascii="Arial" w:hAnsi="Arial" w:cs="Arial"/>
              </w:rPr>
            </w:pPr>
            <w:r w:rsidRPr="003B02A8">
              <w:rPr>
                <w:rFonts w:ascii="Arial" w:hAnsi="Arial" w:cs="Arial"/>
              </w:rPr>
              <w:t xml:space="preserve">provide a clear definition for a BGS technician including a description of different job </w:t>
            </w:r>
            <w:proofErr w:type="gramStart"/>
            <w:r w:rsidRPr="003B02A8">
              <w:rPr>
                <w:rFonts w:ascii="Arial" w:hAnsi="Arial" w:cs="Arial"/>
              </w:rPr>
              <w:t>families</w:t>
            </w:r>
            <w:proofErr w:type="gramEnd"/>
          </w:p>
          <w:p w14:paraId="0164059F" w14:textId="2D5048F7" w:rsidR="00797497" w:rsidRPr="003B02A8" w:rsidRDefault="00797497" w:rsidP="003B02A8">
            <w:pPr>
              <w:pStyle w:val="ListParagraph"/>
              <w:numPr>
                <w:ilvl w:val="0"/>
                <w:numId w:val="8"/>
              </w:numPr>
              <w:ind w:left="604" w:hanging="244"/>
              <w:rPr>
                <w:rFonts w:ascii="Arial" w:hAnsi="Arial" w:cs="Arial"/>
              </w:rPr>
            </w:pPr>
            <w:r w:rsidRPr="003B02A8">
              <w:rPr>
                <w:rFonts w:ascii="Arial" w:hAnsi="Arial" w:cs="Arial"/>
              </w:rPr>
              <w:t xml:space="preserve">explore ways to identify BGS technicians e.g. </w:t>
            </w:r>
            <w:proofErr w:type="gramStart"/>
            <w:r w:rsidRPr="003B02A8">
              <w:rPr>
                <w:rFonts w:ascii="Arial" w:hAnsi="Arial" w:cs="Arial"/>
              </w:rPr>
              <w:t>self-identification</w:t>
            </w:r>
            <w:proofErr w:type="gramEnd"/>
          </w:p>
          <w:p w14:paraId="3BB943AA" w14:textId="77777777" w:rsidR="00797497" w:rsidRDefault="00797497" w:rsidP="00CA5ECE"/>
        </w:tc>
      </w:tr>
      <w:tr w:rsidR="00797497" w14:paraId="1014DECB" w14:textId="371F2B81" w:rsidTr="008C7947">
        <w:tc>
          <w:tcPr>
            <w:tcW w:w="1805" w:type="dxa"/>
            <w:vMerge/>
            <w:shd w:val="clear" w:color="auto" w:fill="E7E6E6" w:themeFill="background2"/>
          </w:tcPr>
          <w:p w14:paraId="443056EA" w14:textId="77777777" w:rsidR="00797497" w:rsidRPr="003E3558" w:rsidRDefault="00797497" w:rsidP="00CA5ECE">
            <w:pPr>
              <w:rPr>
                <w:rFonts w:ascii="Arial" w:hAnsi="Arial" w:cs="Arial"/>
                <w:b/>
                <w:bCs/>
              </w:rPr>
            </w:pPr>
          </w:p>
        </w:tc>
        <w:tc>
          <w:tcPr>
            <w:tcW w:w="3719" w:type="dxa"/>
          </w:tcPr>
          <w:p w14:paraId="0D83154B" w14:textId="481C9BA3" w:rsidR="00797497" w:rsidRDefault="00797497" w:rsidP="00CA5ECE">
            <w:r w:rsidRPr="00E96D8A">
              <w:rPr>
                <w:rFonts w:ascii="Arial" w:hAnsi="Arial" w:cs="Arial"/>
              </w:rPr>
              <w:t>Review how staff contributions are recognised and rewarded at department and institution level, and whether inclusivity exists across job families</w:t>
            </w:r>
          </w:p>
        </w:tc>
        <w:tc>
          <w:tcPr>
            <w:tcW w:w="8079" w:type="dxa"/>
          </w:tcPr>
          <w:p w14:paraId="0C8BA2DF" w14:textId="35445069" w:rsidR="00797497" w:rsidRPr="003B02A8" w:rsidRDefault="00797497" w:rsidP="003B02A8">
            <w:pPr>
              <w:pStyle w:val="ListParagraph"/>
              <w:numPr>
                <w:ilvl w:val="0"/>
                <w:numId w:val="1"/>
              </w:numPr>
              <w:ind w:left="178" w:hanging="218"/>
              <w:rPr>
                <w:rFonts w:ascii="Arial" w:hAnsi="Arial" w:cs="Arial"/>
              </w:rPr>
            </w:pPr>
            <w:r w:rsidRPr="003B02A8">
              <w:rPr>
                <w:rFonts w:ascii="Arial" w:hAnsi="Arial" w:cs="Arial"/>
              </w:rPr>
              <w:t>Current UKRI reward scheme is open to all staff and is analysed by staff characteristic and pay band:</w:t>
            </w:r>
          </w:p>
          <w:p w14:paraId="277A596D" w14:textId="3BA14797" w:rsidR="00797497" w:rsidRDefault="00797497" w:rsidP="00786AD6">
            <w:pPr>
              <w:pStyle w:val="ListParagraph"/>
              <w:numPr>
                <w:ilvl w:val="0"/>
                <w:numId w:val="9"/>
              </w:numPr>
              <w:ind w:left="604" w:hanging="244"/>
              <w:rPr>
                <w:rFonts w:ascii="Arial" w:hAnsi="Arial" w:cs="Arial"/>
              </w:rPr>
            </w:pPr>
            <w:r>
              <w:rPr>
                <w:rFonts w:ascii="Arial" w:hAnsi="Arial" w:cs="Arial"/>
              </w:rPr>
              <w:t>i</w:t>
            </w:r>
            <w:r w:rsidRPr="003B02A8">
              <w:rPr>
                <w:rFonts w:ascii="Arial" w:hAnsi="Arial" w:cs="Arial"/>
              </w:rPr>
              <w:t xml:space="preserve">nclude identification of technical roles to assess inclusivity of reward </w:t>
            </w:r>
            <w:proofErr w:type="gramStart"/>
            <w:r w:rsidRPr="003B02A8">
              <w:rPr>
                <w:rFonts w:ascii="Arial" w:hAnsi="Arial" w:cs="Arial"/>
              </w:rPr>
              <w:t>schemes</w:t>
            </w:r>
            <w:proofErr w:type="gramEnd"/>
          </w:p>
          <w:p w14:paraId="78D4A041" w14:textId="098AA8CC" w:rsidR="00797497" w:rsidRPr="00786AD6" w:rsidRDefault="00797497" w:rsidP="00786AD6">
            <w:pPr>
              <w:pStyle w:val="ListParagraph"/>
              <w:numPr>
                <w:ilvl w:val="0"/>
                <w:numId w:val="9"/>
              </w:numPr>
              <w:ind w:left="604" w:hanging="244"/>
              <w:rPr>
                <w:rFonts w:ascii="Arial" w:hAnsi="Arial" w:cs="Arial"/>
              </w:rPr>
            </w:pPr>
            <w:r w:rsidRPr="003B02A8">
              <w:rPr>
                <w:rFonts w:ascii="Arial" w:hAnsi="Arial" w:cs="Arial"/>
              </w:rPr>
              <w:t xml:space="preserve">review banding of technicians and parity across all reward schemes e.g. in-year bonus </w:t>
            </w:r>
          </w:p>
        </w:tc>
      </w:tr>
      <w:tr w:rsidR="00797497" w14:paraId="720B8A8A" w14:textId="1C6E3DDB" w:rsidTr="008C7947">
        <w:tc>
          <w:tcPr>
            <w:tcW w:w="1805" w:type="dxa"/>
            <w:vMerge/>
            <w:shd w:val="clear" w:color="auto" w:fill="E7E6E6" w:themeFill="background2"/>
          </w:tcPr>
          <w:p w14:paraId="70FA5DD5" w14:textId="77777777" w:rsidR="00797497" w:rsidRPr="003E3558" w:rsidRDefault="00797497" w:rsidP="00CA5ECE">
            <w:pPr>
              <w:rPr>
                <w:rFonts w:ascii="Arial" w:hAnsi="Arial" w:cs="Arial"/>
                <w:b/>
                <w:bCs/>
              </w:rPr>
            </w:pPr>
          </w:p>
        </w:tc>
        <w:tc>
          <w:tcPr>
            <w:tcW w:w="3719" w:type="dxa"/>
          </w:tcPr>
          <w:p w14:paraId="4FEEAC7D" w14:textId="7E7866BD" w:rsidR="00797497" w:rsidRDefault="00797497" w:rsidP="00CA5ECE">
            <w:r w:rsidRPr="00E96D8A">
              <w:rPr>
                <w:rFonts w:ascii="Arial" w:hAnsi="Arial" w:cs="Arial"/>
              </w:rPr>
              <w:t xml:space="preserve">Ensure that our Reward Strategy recognises the development of </w:t>
            </w:r>
            <w:r w:rsidRPr="00E96D8A">
              <w:rPr>
                <w:rFonts w:ascii="Arial" w:hAnsi="Arial" w:cs="Arial"/>
              </w:rPr>
              <w:lastRenderedPageBreak/>
              <w:t>skills and competencies relevant to technical roles</w:t>
            </w:r>
          </w:p>
        </w:tc>
        <w:tc>
          <w:tcPr>
            <w:tcW w:w="8079" w:type="dxa"/>
            <w:shd w:val="clear" w:color="auto" w:fill="BDD6EE" w:themeFill="accent5" w:themeFillTint="66"/>
          </w:tcPr>
          <w:p w14:paraId="6C0A5207" w14:textId="0DD8420A" w:rsidR="00797497" w:rsidRDefault="00797497" w:rsidP="00786AD6">
            <w:pPr>
              <w:pStyle w:val="ListParagraph"/>
              <w:numPr>
                <w:ilvl w:val="0"/>
                <w:numId w:val="1"/>
              </w:numPr>
              <w:ind w:left="320"/>
              <w:rPr>
                <w:rFonts w:ascii="Arial" w:hAnsi="Arial" w:cs="Arial"/>
              </w:rPr>
            </w:pPr>
            <w:r w:rsidRPr="003B02A8">
              <w:rPr>
                <w:rFonts w:ascii="Arial" w:hAnsi="Arial" w:cs="Arial"/>
              </w:rPr>
              <w:lastRenderedPageBreak/>
              <w:t>Raise awareness of rewards scheme available to all technical staff via internal T</w:t>
            </w:r>
            <w:r>
              <w:rPr>
                <w:rFonts w:ascii="Arial" w:hAnsi="Arial" w:cs="Arial"/>
              </w:rPr>
              <w:t xml:space="preserve">echnician </w:t>
            </w:r>
            <w:r w:rsidRPr="003B02A8">
              <w:rPr>
                <w:rFonts w:ascii="Arial" w:hAnsi="Arial" w:cs="Arial"/>
              </w:rPr>
              <w:t>C</w:t>
            </w:r>
            <w:r>
              <w:rPr>
                <w:rFonts w:ascii="Arial" w:hAnsi="Arial" w:cs="Arial"/>
              </w:rPr>
              <w:t>ommitment</w:t>
            </w:r>
            <w:r w:rsidRPr="003B02A8">
              <w:rPr>
                <w:rFonts w:ascii="Arial" w:hAnsi="Arial" w:cs="Arial"/>
              </w:rPr>
              <w:t xml:space="preserve"> Intranet pages and external web</w:t>
            </w:r>
            <w:r>
              <w:rPr>
                <w:rFonts w:ascii="Arial" w:hAnsi="Arial" w:cs="Arial"/>
              </w:rPr>
              <w:t>pages</w:t>
            </w:r>
          </w:p>
          <w:p w14:paraId="3A3A41CF" w14:textId="77777777" w:rsidR="00797497" w:rsidRPr="00786AD6" w:rsidRDefault="00797497" w:rsidP="00786AD6">
            <w:pPr>
              <w:pStyle w:val="ListParagraph"/>
              <w:numPr>
                <w:ilvl w:val="0"/>
                <w:numId w:val="16"/>
              </w:numPr>
              <w:ind w:left="604" w:hanging="219"/>
              <w:rPr>
                <w:rFonts w:ascii="Arial" w:hAnsi="Arial" w:cs="Arial"/>
              </w:rPr>
            </w:pPr>
            <w:r w:rsidRPr="00786AD6">
              <w:rPr>
                <w:rFonts w:ascii="Arial" w:hAnsi="Arial" w:cs="Arial"/>
              </w:rPr>
              <w:lastRenderedPageBreak/>
              <w:t xml:space="preserve">ensure expectations of technical roles are appropriate and achievable within current reward </w:t>
            </w:r>
            <w:proofErr w:type="gramStart"/>
            <w:r w:rsidRPr="00786AD6">
              <w:rPr>
                <w:rFonts w:ascii="Arial" w:hAnsi="Arial" w:cs="Arial"/>
              </w:rPr>
              <w:t>schemes</w:t>
            </w:r>
            <w:proofErr w:type="gramEnd"/>
            <w:r w:rsidRPr="00786AD6">
              <w:rPr>
                <w:rFonts w:ascii="Arial" w:hAnsi="Arial" w:cs="Arial"/>
              </w:rPr>
              <w:t xml:space="preserve"> </w:t>
            </w:r>
          </w:p>
          <w:p w14:paraId="67FB80AF" w14:textId="77777777" w:rsidR="00797497" w:rsidRPr="00786AD6" w:rsidRDefault="00797497" w:rsidP="00786AD6">
            <w:pPr>
              <w:pStyle w:val="ListParagraph"/>
              <w:numPr>
                <w:ilvl w:val="0"/>
                <w:numId w:val="16"/>
              </w:numPr>
              <w:ind w:left="604" w:hanging="219"/>
              <w:rPr>
                <w:rFonts w:ascii="Arial" w:hAnsi="Arial" w:cs="Arial"/>
              </w:rPr>
            </w:pPr>
            <w:r w:rsidRPr="00786AD6">
              <w:rPr>
                <w:rFonts w:ascii="Arial" w:hAnsi="Arial" w:cs="Arial"/>
              </w:rPr>
              <w:t xml:space="preserve">engage with UKRI work on technical career pathways in order to develop clear career development and progression for </w:t>
            </w:r>
            <w:proofErr w:type="gramStart"/>
            <w:r w:rsidRPr="00786AD6">
              <w:rPr>
                <w:rFonts w:ascii="Arial" w:hAnsi="Arial" w:cs="Arial"/>
              </w:rPr>
              <w:t>technicians</w:t>
            </w:r>
            <w:proofErr w:type="gramEnd"/>
          </w:p>
          <w:p w14:paraId="125C17D9" w14:textId="7C0CEDF4" w:rsidR="00797497" w:rsidRDefault="00797497" w:rsidP="00786AD6">
            <w:pPr>
              <w:pStyle w:val="ListParagraph"/>
              <w:numPr>
                <w:ilvl w:val="0"/>
                <w:numId w:val="16"/>
              </w:numPr>
              <w:ind w:left="604" w:hanging="219"/>
            </w:pPr>
            <w:r w:rsidRPr="00786AD6">
              <w:rPr>
                <w:rFonts w:ascii="Arial" w:hAnsi="Arial" w:cs="Arial"/>
              </w:rPr>
              <w:t>provide training/drop-in sessions to inform/update line managers and senior leaders on existing reward frameworks and their relevance to technical roles</w:t>
            </w:r>
          </w:p>
        </w:tc>
      </w:tr>
      <w:tr w:rsidR="00797497" w14:paraId="553F6AF2" w14:textId="79B4E9D8" w:rsidTr="008C7947">
        <w:tc>
          <w:tcPr>
            <w:tcW w:w="1805" w:type="dxa"/>
            <w:vMerge/>
            <w:shd w:val="clear" w:color="auto" w:fill="E7E6E6" w:themeFill="background2"/>
          </w:tcPr>
          <w:p w14:paraId="11050DE0" w14:textId="77777777" w:rsidR="00797497" w:rsidRPr="003E3558" w:rsidRDefault="00797497" w:rsidP="00CA5ECE">
            <w:pPr>
              <w:rPr>
                <w:rFonts w:ascii="Arial" w:hAnsi="Arial" w:cs="Arial"/>
                <w:b/>
                <w:bCs/>
              </w:rPr>
            </w:pPr>
          </w:p>
        </w:tc>
        <w:tc>
          <w:tcPr>
            <w:tcW w:w="3719" w:type="dxa"/>
          </w:tcPr>
          <w:p w14:paraId="09F20366" w14:textId="770F6570" w:rsidR="00797497" w:rsidRDefault="00797497" w:rsidP="00CA5ECE">
            <w:r w:rsidRPr="00E96D8A">
              <w:rPr>
                <w:rFonts w:ascii="Arial" w:hAnsi="Arial" w:cs="Arial"/>
              </w:rPr>
              <w:t>Encourage appropriate inclusion of technical staff as authors, co-authors, or contributors on published papers and presentations, including providing clear guidance for appropriate inclusion at relevant stages, and sharing examples of inclusion within newsletters</w:t>
            </w:r>
          </w:p>
        </w:tc>
        <w:tc>
          <w:tcPr>
            <w:tcW w:w="8079" w:type="dxa"/>
          </w:tcPr>
          <w:p w14:paraId="4436661B" w14:textId="77777777" w:rsidR="00797497" w:rsidRDefault="00797497" w:rsidP="003B02A8">
            <w:pPr>
              <w:pStyle w:val="ListParagraph"/>
              <w:numPr>
                <w:ilvl w:val="0"/>
                <w:numId w:val="1"/>
              </w:numPr>
              <w:ind w:left="320"/>
              <w:rPr>
                <w:rFonts w:ascii="Arial" w:hAnsi="Arial" w:cs="Arial"/>
              </w:rPr>
            </w:pPr>
            <w:r w:rsidRPr="003B02A8">
              <w:rPr>
                <w:rFonts w:ascii="Arial" w:hAnsi="Arial" w:cs="Arial"/>
              </w:rPr>
              <w:t>Ensure that technical contributions are fairly credited on all written publications (reports, peer review papers etc)</w:t>
            </w:r>
            <w:r>
              <w:rPr>
                <w:rFonts w:ascii="Arial" w:hAnsi="Arial" w:cs="Arial"/>
              </w:rPr>
              <w:t xml:space="preserve">. This will be achieved </w:t>
            </w:r>
            <w:r w:rsidRPr="003B02A8">
              <w:rPr>
                <w:rFonts w:ascii="Arial" w:hAnsi="Arial" w:cs="Arial"/>
              </w:rPr>
              <w:t>through</w:t>
            </w:r>
            <w:r>
              <w:rPr>
                <w:rFonts w:ascii="Arial" w:hAnsi="Arial" w:cs="Arial"/>
              </w:rPr>
              <w:t>:</w:t>
            </w:r>
          </w:p>
          <w:p w14:paraId="24791C4D" w14:textId="3365AA9C" w:rsidR="00797497" w:rsidRDefault="00797497" w:rsidP="00BE3BD9">
            <w:pPr>
              <w:pStyle w:val="ListParagraph"/>
              <w:numPr>
                <w:ilvl w:val="0"/>
                <w:numId w:val="10"/>
              </w:numPr>
              <w:ind w:left="604" w:hanging="244"/>
            </w:pPr>
            <w:r>
              <w:rPr>
                <w:rFonts w:ascii="Arial" w:hAnsi="Arial" w:cs="Arial"/>
              </w:rPr>
              <w:t xml:space="preserve">In addition to </w:t>
            </w:r>
            <w:r w:rsidRPr="003B02A8">
              <w:rPr>
                <w:rFonts w:ascii="Arial" w:hAnsi="Arial" w:cs="Arial"/>
              </w:rPr>
              <w:t xml:space="preserve">adoption of </w:t>
            </w:r>
            <w:proofErr w:type="spellStart"/>
            <w:r w:rsidRPr="003B02A8">
              <w:rPr>
                <w:rFonts w:ascii="Arial" w:hAnsi="Arial" w:cs="Arial"/>
              </w:rPr>
              <w:t>CRediT</w:t>
            </w:r>
            <w:proofErr w:type="spellEnd"/>
            <w:r w:rsidRPr="003B02A8">
              <w:rPr>
                <w:rFonts w:ascii="Arial" w:hAnsi="Arial" w:cs="Arial"/>
              </w:rPr>
              <w:t xml:space="preserve"> taxonomy for authors</w:t>
            </w:r>
            <w:r>
              <w:rPr>
                <w:rFonts w:ascii="Arial" w:hAnsi="Arial" w:cs="Arial"/>
              </w:rPr>
              <w:t xml:space="preserve">, identify </w:t>
            </w:r>
            <w:r w:rsidRPr="003B02A8">
              <w:rPr>
                <w:rFonts w:ascii="Arial" w:hAnsi="Arial" w:cs="Arial"/>
              </w:rPr>
              <w:t>other routes for publication and recognition relevant to technicians e.g. publication of datasets in NERC Data Centre with technicians as primary authors, incorporation of ‘contributor’ field in corporate databases to record contributions of technicians to outputs</w:t>
            </w:r>
          </w:p>
        </w:tc>
      </w:tr>
      <w:tr w:rsidR="00797497" w14:paraId="309209CD" w14:textId="2DF3203B" w:rsidTr="008C7947">
        <w:tc>
          <w:tcPr>
            <w:tcW w:w="1805" w:type="dxa"/>
            <w:vMerge w:val="restart"/>
            <w:shd w:val="clear" w:color="auto" w:fill="E7E6E6" w:themeFill="background2"/>
          </w:tcPr>
          <w:p w14:paraId="74B3C181" w14:textId="3C444D14" w:rsidR="00797497" w:rsidRPr="003E3558" w:rsidRDefault="00797497" w:rsidP="00CA5ECE">
            <w:pPr>
              <w:rPr>
                <w:rFonts w:ascii="Arial" w:hAnsi="Arial" w:cs="Arial"/>
                <w:b/>
                <w:bCs/>
              </w:rPr>
            </w:pPr>
            <w:r w:rsidRPr="003E3558">
              <w:rPr>
                <w:rFonts w:ascii="Arial" w:hAnsi="Arial" w:cs="Arial"/>
                <w:b/>
                <w:bCs/>
              </w:rPr>
              <w:t>Career Development</w:t>
            </w:r>
          </w:p>
        </w:tc>
        <w:tc>
          <w:tcPr>
            <w:tcW w:w="3719" w:type="dxa"/>
          </w:tcPr>
          <w:p w14:paraId="2F13730A" w14:textId="51BD32A4" w:rsidR="00797497" w:rsidRDefault="00797497" w:rsidP="00CA5ECE">
            <w:r w:rsidRPr="00E96D8A">
              <w:rPr>
                <w:rFonts w:ascii="Arial" w:hAnsi="Arial" w:cs="Arial"/>
              </w:rPr>
              <w:t>Signpost professional development opportunities to technicians aligned to career pathways</w:t>
            </w:r>
          </w:p>
        </w:tc>
        <w:tc>
          <w:tcPr>
            <w:tcW w:w="8079" w:type="dxa"/>
            <w:shd w:val="clear" w:color="auto" w:fill="BDD6EE" w:themeFill="accent5" w:themeFillTint="66"/>
          </w:tcPr>
          <w:p w14:paraId="624C9B63" w14:textId="1EBEB666" w:rsidR="00797497" w:rsidRPr="00500E95" w:rsidRDefault="00797497" w:rsidP="00500E95">
            <w:pPr>
              <w:pStyle w:val="ListParagraph"/>
              <w:numPr>
                <w:ilvl w:val="0"/>
                <w:numId w:val="1"/>
              </w:numPr>
              <w:ind w:left="320"/>
              <w:rPr>
                <w:rFonts w:ascii="Arial" w:hAnsi="Arial" w:cs="Arial"/>
              </w:rPr>
            </w:pPr>
            <w:r w:rsidRPr="00500E95">
              <w:rPr>
                <w:rFonts w:ascii="Arial" w:hAnsi="Arial" w:cs="Arial"/>
              </w:rPr>
              <w:t xml:space="preserve">Create clear presentation of career pathways examples for technicians, researchers, </w:t>
            </w:r>
            <w:proofErr w:type="gramStart"/>
            <w:r w:rsidRPr="00500E95">
              <w:rPr>
                <w:rFonts w:ascii="Arial" w:hAnsi="Arial" w:cs="Arial"/>
              </w:rPr>
              <w:t>managers</w:t>
            </w:r>
            <w:proofErr w:type="gramEnd"/>
            <w:r w:rsidRPr="00500E95">
              <w:rPr>
                <w:rFonts w:ascii="Arial" w:hAnsi="Arial" w:cs="Arial"/>
              </w:rPr>
              <w:t xml:space="preserve"> and work to remove barriers – perceived or real – to career development opportunities for technical staff</w:t>
            </w:r>
            <w:r>
              <w:rPr>
                <w:rFonts w:ascii="Arial" w:hAnsi="Arial" w:cs="Arial"/>
              </w:rPr>
              <w:t>:</w:t>
            </w:r>
          </w:p>
          <w:p w14:paraId="6CD3A0BC" w14:textId="0157BDF6" w:rsidR="00797497" w:rsidRPr="00500E95" w:rsidRDefault="00797497" w:rsidP="00500E95">
            <w:pPr>
              <w:pStyle w:val="ListParagraph"/>
              <w:numPr>
                <w:ilvl w:val="0"/>
                <w:numId w:val="11"/>
              </w:numPr>
              <w:ind w:left="604" w:hanging="244"/>
              <w:rPr>
                <w:rFonts w:ascii="Arial" w:hAnsi="Arial" w:cs="Arial"/>
              </w:rPr>
            </w:pPr>
            <w:r w:rsidRPr="00500E95">
              <w:rPr>
                <w:rFonts w:ascii="Arial" w:hAnsi="Arial" w:cs="Arial"/>
              </w:rPr>
              <w:t xml:space="preserve">encourage staff-led promotion case clinic between technical (and all) staff to highlight how technical role outputs align with corporate </w:t>
            </w:r>
            <w:proofErr w:type="gramStart"/>
            <w:r w:rsidRPr="00500E95">
              <w:rPr>
                <w:rFonts w:ascii="Arial" w:hAnsi="Arial" w:cs="Arial"/>
              </w:rPr>
              <w:t>strategy</w:t>
            </w:r>
            <w:proofErr w:type="gramEnd"/>
          </w:p>
          <w:p w14:paraId="66016571" w14:textId="77777777" w:rsidR="00797497" w:rsidRPr="00500E95" w:rsidRDefault="00797497" w:rsidP="00500E95">
            <w:pPr>
              <w:pStyle w:val="ListParagraph"/>
              <w:numPr>
                <w:ilvl w:val="0"/>
                <w:numId w:val="11"/>
              </w:numPr>
              <w:ind w:left="604" w:hanging="244"/>
              <w:rPr>
                <w:rFonts w:ascii="Arial" w:hAnsi="Arial" w:cs="Arial"/>
              </w:rPr>
            </w:pPr>
            <w:r w:rsidRPr="00500E95">
              <w:rPr>
                <w:rFonts w:ascii="Arial" w:hAnsi="Arial" w:cs="Arial"/>
              </w:rPr>
              <w:t xml:space="preserve">monitor technician representation on all promotion </w:t>
            </w:r>
            <w:proofErr w:type="gramStart"/>
            <w:r w:rsidRPr="00500E95">
              <w:rPr>
                <w:rFonts w:ascii="Arial" w:hAnsi="Arial" w:cs="Arial"/>
              </w:rPr>
              <w:t>panels</w:t>
            </w:r>
            <w:proofErr w:type="gramEnd"/>
            <w:r w:rsidRPr="00500E95">
              <w:rPr>
                <w:rFonts w:ascii="Arial" w:hAnsi="Arial" w:cs="Arial"/>
              </w:rPr>
              <w:t xml:space="preserve"> </w:t>
            </w:r>
          </w:p>
          <w:p w14:paraId="742A5B16" w14:textId="4021A69B" w:rsidR="00797497" w:rsidRPr="00500E95" w:rsidRDefault="00797497" w:rsidP="00500E95">
            <w:pPr>
              <w:pStyle w:val="ListParagraph"/>
              <w:numPr>
                <w:ilvl w:val="0"/>
                <w:numId w:val="11"/>
              </w:numPr>
              <w:ind w:left="604" w:hanging="244"/>
              <w:rPr>
                <w:rFonts w:ascii="Arial" w:eastAsia="Times New Roman" w:hAnsi="Arial" w:cs="Arial"/>
              </w:rPr>
            </w:pPr>
            <w:r w:rsidRPr="00500E95">
              <w:rPr>
                <w:rFonts w:ascii="Arial" w:hAnsi="Arial" w:cs="Arial"/>
              </w:rPr>
              <w:t xml:space="preserve">ensure line managers </w:t>
            </w:r>
            <w:r w:rsidRPr="00500E95">
              <w:rPr>
                <w:rFonts w:ascii="Arial" w:eastAsia="Times New Roman" w:hAnsi="Arial" w:cs="Arial"/>
              </w:rPr>
              <w:t xml:space="preserve">understand the relevance of technical roles to BGS work and how they align with BGS strategy. </w:t>
            </w:r>
          </w:p>
          <w:p w14:paraId="1831262B" w14:textId="5ED4DDE6" w:rsidR="00797497" w:rsidRDefault="00797497" w:rsidP="00500E95">
            <w:pPr>
              <w:pStyle w:val="ListParagraph"/>
              <w:numPr>
                <w:ilvl w:val="0"/>
                <w:numId w:val="11"/>
              </w:numPr>
              <w:ind w:left="604" w:hanging="244"/>
            </w:pPr>
            <w:r w:rsidRPr="00500E95">
              <w:rPr>
                <w:rFonts w:ascii="Arial" w:hAnsi="Arial" w:cs="Arial"/>
              </w:rPr>
              <w:t>increase networking opportunities for technicians both within BGS and with other organisations</w:t>
            </w:r>
          </w:p>
        </w:tc>
      </w:tr>
      <w:tr w:rsidR="00797497" w14:paraId="6C69C104" w14:textId="1B166F60" w:rsidTr="008C7947">
        <w:tc>
          <w:tcPr>
            <w:tcW w:w="1805" w:type="dxa"/>
            <w:vMerge/>
            <w:shd w:val="clear" w:color="auto" w:fill="E7E6E6" w:themeFill="background2"/>
          </w:tcPr>
          <w:p w14:paraId="0B14918F" w14:textId="77777777" w:rsidR="00797497" w:rsidRPr="003E3558" w:rsidRDefault="00797497" w:rsidP="00CA5ECE">
            <w:pPr>
              <w:rPr>
                <w:rFonts w:ascii="Arial" w:hAnsi="Arial" w:cs="Arial"/>
                <w:b/>
                <w:bCs/>
              </w:rPr>
            </w:pPr>
          </w:p>
        </w:tc>
        <w:tc>
          <w:tcPr>
            <w:tcW w:w="3719" w:type="dxa"/>
          </w:tcPr>
          <w:p w14:paraId="2F20CEBA" w14:textId="6CBFFC27" w:rsidR="00797497" w:rsidRDefault="00797497" w:rsidP="00CA5ECE">
            <w:r w:rsidRPr="00E96D8A">
              <w:rPr>
                <w:rFonts w:ascii="Arial" w:hAnsi="Arial" w:cs="Arial"/>
              </w:rPr>
              <w:t xml:space="preserve">Organisation communicates the opportunity to become professionally registered to technical staff (Science Council, Engineering Council, BCS). Conferment of the organisational level Science Council Employer Champion award in recognition in recognition of the support given to </w:t>
            </w:r>
            <w:r w:rsidRPr="00E96D8A">
              <w:rPr>
                <w:rFonts w:ascii="Arial" w:hAnsi="Arial" w:cs="Arial"/>
              </w:rPr>
              <w:lastRenderedPageBreak/>
              <w:t>technical staff to gain professional registration and engage in continued professional development</w:t>
            </w:r>
          </w:p>
        </w:tc>
        <w:tc>
          <w:tcPr>
            <w:tcW w:w="8079" w:type="dxa"/>
          </w:tcPr>
          <w:p w14:paraId="27C8A10F" w14:textId="77777777" w:rsidR="00797497" w:rsidRPr="00CD27DE" w:rsidRDefault="00797497" w:rsidP="00CA5ECE">
            <w:pPr>
              <w:pStyle w:val="ListParagraph"/>
              <w:numPr>
                <w:ilvl w:val="0"/>
                <w:numId w:val="1"/>
              </w:numPr>
              <w:ind w:left="320"/>
              <w:rPr>
                <w:rFonts w:ascii="Arial" w:hAnsi="Arial" w:cs="Arial"/>
              </w:rPr>
            </w:pPr>
            <w:r w:rsidRPr="00CD27DE">
              <w:rPr>
                <w:rFonts w:ascii="Arial" w:hAnsi="Arial" w:cs="Arial"/>
              </w:rPr>
              <w:lastRenderedPageBreak/>
              <w:t xml:space="preserve">Gather evidence of how professional registration can be linked to career development opportunities. Advertise opportunities for professional registration and membership. </w:t>
            </w:r>
          </w:p>
          <w:p w14:paraId="0EF6E158" w14:textId="77777777" w:rsidR="00797497" w:rsidRPr="00CD27DE" w:rsidRDefault="00797497" w:rsidP="00786AD6">
            <w:pPr>
              <w:pStyle w:val="ListParagraph"/>
              <w:numPr>
                <w:ilvl w:val="0"/>
                <w:numId w:val="18"/>
              </w:numPr>
              <w:ind w:left="604" w:hanging="244"/>
              <w:rPr>
                <w:rFonts w:ascii="Arial" w:hAnsi="Arial" w:cs="Arial"/>
              </w:rPr>
            </w:pPr>
            <w:r w:rsidRPr="00CD27DE">
              <w:rPr>
                <w:rFonts w:ascii="Arial" w:hAnsi="Arial" w:cs="Arial"/>
              </w:rPr>
              <w:t>organise workshops with relevant bodies to inform staff of opportunities.</w:t>
            </w:r>
          </w:p>
          <w:p w14:paraId="3B7447CA" w14:textId="77777777" w:rsidR="00797497" w:rsidRPr="00CD27DE" w:rsidRDefault="00797497" w:rsidP="00CA5ECE">
            <w:pPr>
              <w:pStyle w:val="ListParagraph"/>
              <w:numPr>
                <w:ilvl w:val="0"/>
                <w:numId w:val="18"/>
              </w:numPr>
              <w:ind w:left="604" w:hanging="244"/>
              <w:rPr>
                <w:rFonts w:ascii="Arial" w:hAnsi="Arial" w:cs="Arial"/>
              </w:rPr>
            </w:pPr>
            <w:r w:rsidRPr="00CD27DE">
              <w:rPr>
                <w:rFonts w:ascii="Arial" w:hAnsi="Arial" w:cs="Arial"/>
              </w:rPr>
              <w:t xml:space="preserve">explore achieving ‘Employer Champion’ status with Science Council and other relevant </w:t>
            </w:r>
            <w:proofErr w:type="gramStart"/>
            <w:r w:rsidRPr="00CD27DE">
              <w:rPr>
                <w:rFonts w:ascii="Arial" w:hAnsi="Arial" w:cs="Arial"/>
              </w:rPr>
              <w:t>bodies</w:t>
            </w:r>
            <w:proofErr w:type="gramEnd"/>
          </w:p>
          <w:p w14:paraId="5FC16D4A" w14:textId="2C3DDE1D" w:rsidR="00797497" w:rsidRPr="00CD27DE" w:rsidRDefault="00797497" w:rsidP="00CA5ECE">
            <w:pPr>
              <w:pStyle w:val="ListParagraph"/>
              <w:numPr>
                <w:ilvl w:val="0"/>
                <w:numId w:val="18"/>
              </w:numPr>
              <w:ind w:left="604" w:hanging="244"/>
              <w:rPr>
                <w:rFonts w:ascii="Arial" w:hAnsi="Arial" w:cs="Arial"/>
              </w:rPr>
            </w:pPr>
            <w:r w:rsidRPr="00CD27DE">
              <w:rPr>
                <w:rFonts w:ascii="Arial" w:hAnsi="Arial" w:cs="Arial"/>
              </w:rPr>
              <w:t xml:space="preserve">advertise opportunities on BGS Intranet pages and via other </w:t>
            </w:r>
            <w:proofErr w:type="gramStart"/>
            <w:r w:rsidRPr="00CD27DE">
              <w:rPr>
                <w:rFonts w:ascii="Arial" w:hAnsi="Arial" w:cs="Arial"/>
              </w:rPr>
              <w:t>communications</w:t>
            </w:r>
            <w:proofErr w:type="gramEnd"/>
          </w:p>
          <w:p w14:paraId="1A8A8AA0" w14:textId="77777777" w:rsidR="00797497" w:rsidRPr="00E96D8A" w:rsidRDefault="00797497" w:rsidP="00CA5ECE">
            <w:pPr>
              <w:rPr>
                <w:rFonts w:ascii="Arial" w:hAnsi="Arial" w:cs="Arial"/>
              </w:rPr>
            </w:pPr>
          </w:p>
          <w:p w14:paraId="4FF4CE54" w14:textId="77777777" w:rsidR="00797497" w:rsidRPr="00E96D8A" w:rsidRDefault="00797497" w:rsidP="00CA5ECE">
            <w:pPr>
              <w:rPr>
                <w:rFonts w:ascii="Arial" w:hAnsi="Arial" w:cs="Arial"/>
              </w:rPr>
            </w:pPr>
          </w:p>
          <w:p w14:paraId="18A77CC1" w14:textId="77777777" w:rsidR="00797497" w:rsidRDefault="00797497" w:rsidP="00CA5ECE"/>
        </w:tc>
      </w:tr>
      <w:tr w:rsidR="00797497" w14:paraId="2963CD13" w14:textId="1EBCD3C2" w:rsidTr="008C7947">
        <w:tc>
          <w:tcPr>
            <w:tcW w:w="1805" w:type="dxa"/>
            <w:vMerge/>
            <w:shd w:val="clear" w:color="auto" w:fill="E7E6E6" w:themeFill="background2"/>
          </w:tcPr>
          <w:p w14:paraId="31DA967D" w14:textId="77777777" w:rsidR="00797497" w:rsidRPr="003E3558" w:rsidRDefault="00797497" w:rsidP="00CA5ECE">
            <w:pPr>
              <w:rPr>
                <w:rFonts w:ascii="Arial" w:hAnsi="Arial" w:cs="Arial"/>
                <w:b/>
                <w:bCs/>
              </w:rPr>
            </w:pPr>
          </w:p>
        </w:tc>
        <w:tc>
          <w:tcPr>
            <w:tcW w:w="3719" w:type="dxa"/>
          </w:tcPr>
          <w:p w14:paraId="29CC07A3" w14:textId="0E0C82AF" w:rsidR="00797497" w:rsidRDefault="00797497" w:rsidP="00CA5ECE">
            <w:r w:rsidRPr="00E96D8A">
              <w:rPr>
                <w:rFonts w:ascii="Arial" w:hAnsi="Arial" w:cs="Arial"/>
              </w:rPr>
              <w:t>Technician specific professional career paths/frameworks which clearly document progression opportunities</w:t>
            </w:r>
          </w:p>
        </w:tc>
        <w:tc>
          <w:tcPr>
            <w:tcW w:w="8079" w:type="dxa"/>
            <w:shd w:val="clear" w:color="auto" w:fill="BDD6EE" w:themeFill="accent5" w:themeFillTint="66"/>
          </w:tcPr>
          <w:p w14:paraId="10FE3DFB" w14:textId="581E3FF5" w:rsidR="00797497" w:rsidRPr="00500E95" w:rsidRDefault="00797497" w:rsidP="00500E95">
            <w:pPr>
              <w:pStyle w:val="ListParagraph"/>
              <w:numPr>
                <w:ilvl w:val="0"/>
                <w:numId w:val="1"/>
              </w:numPr>
              <w:ind w:left="320"/>
              <w:rPr>
                <w:rFonts w:ascii="Arial" w:hAnsi="Arial" w:cs="Arial"/>
              </w:rPr>
            </w:pPr>
            <w:r w:rsidRPr="00500E95">
              <w:rPr>
                <w:rFonts w:ascii="Arial" w:hAnsi="Arial" w:cs="Arial"/>
              </w:rPr>
              <w:t>Identify and remove barriers to accessing existing progression pathways:</w:t>
            </w:r>
          </w:p>
          <w:p w14:paraId="318FFEDE" w14:textId="77777777" w:rsidR="00797497" w:rsidRPr="00500E95" w:rsidRDefault="00797497" w:rsidP="00500E95">
            <w:pPr>
              <w:pStyle w:val="ListParagraph"/>
              <w:numPr>
                <w:ilvl w:val="0"/>
                <w:numId w:val="12"/>
              </w:numPr>
              <w:ind w:left="604" w:hanging="244"/>
              <w:rPr>
                <w:rFonts w:ascii="Arial" w:hAnsi="Arial" w:cs="Arial"/>
              </w:rPr>
            </w:pPr>
            <w:r w:rsidRPr="00500E95">
              <w:rPr>
                <w:rFonts w:ascii="Arial" w:hAnsi="Arial" w:cs="Arial"/>
              </w:rPr>
              <w:t>refresh career development aspect of BGS staff appraisal process, both short term (1 year) and longer term (3 years+, progression plan)</w:t>
            </w:r>
          </w:p>
          <w:p w14:paraId="134DC3F8" w14:textId="1EF442DC" w:rsidR="00797497" w:rsidRDefault="00797497" w:rsidP="00CD27DE">
            <w:pPr>
              <w:pStyle w:val="ListParagraph"/>
              <w:numPr>
                <w:ilvl w:val="0"/>
                <w:numId w:val="12"/>
              </w:numPr>
              <w:ind w:left="604" w:hanging="244"/>
            </w:pPr>
            <w:r w:rsidRPr="00CD27DE">
              <w:rPr>
                <w:rFonts w:ascii="Arial" w:hAnsi="Arial" w:cs="Arial"/>
              </w:rPr>
              <w:t>promote longer term career discussions between line managers and technical staff to enable technicians to identify development opportunities</w:t>
            </w:r>
          </w:p>
        </w:tc>
      </w:tr>
      <w:tr w:rsidR="00797497" w14:paraId="2FD7D96C" w14:textId="256DA9C0" w:rsidTr="008C7947">
        <w:tc>
          <w:tcPr>
            <w:tcW w:w="1805" w:type="dxa"/>
            <w:vMerge/>
            <w:shd w:val="clear" w:color="auto" w:fill="E7E6E6" w:themeFill="background2"/>
          </w:tcPr>
          <w:p w14:paraId="5DDED4A9" w14:textId="77777777" w:rsidR="00797497" w:rsidRPr="003E3558" w:rsidRDefault="00797497" w:rsidP="00CA5ECE">
            <w:pPr>
              <w:rPr>
                <w:rFonts w:ascii="Arial" w:hAnsi="Arial" w:cs="Arial"/>
                <w:b/>
                <w:bCs/>
              </w:rPr>
            </w:pPr>
          </w:p>
        </w:tc>
        <w:tc>
          <w:tcPr>
            <w:tcW w:w="3719" w:type="dxa"/>
          </w:tcPr>
          <w:p w14:paraId="489130EF" w14:textId="343E5725" w:rsidR="00797497" w:rsidRDefault="00797497" w:rsidP="00CA5ECE">
            <w:r w:rsidRPr="00E96D8A">
              <w:rPr>
                <w:rFonts w:ascii="Arial" w:hAnsi="Arial" w:cs="Arial"/>
              </w:rPr>
              <w:t>Identify secondment/placement programmes for technical staff to develop new skills</w:t>
            </w:r>
          </w:p>
        </w:tc>
        <w:tc>
          <w:tcPr>
            <w:tcW w:w="8079" w:type="dxa"/>
          </w:tcPr>
          <w:p w14:paraId="56A1F172" w14:textId="33CDFCE5" w:rsidR="00797497" w:rsidRPr="00500E95" w:rsidRDefault="00797497" w:rsidP="00500E95">
            <w:pPr>
              <w:pStyle w:val="ListParagraph"/>
              <w:numPr>
                <w:ilvl w:val="0"/>
                <w:numId w:val="1"/>
              </w:numPr>
              <w:ind w:left="320"/>
              <w:rPr>
                <w:rFonts w:ascii="Arial" w:hAnsi="Arial" w:cs="Arial"/>
              </w:rPr>
            </w:pPr>
            <w:r w:rsidRPr="00500E95">
              <w:rPr>
                <w:rFonts w:ascii="Arial" w:hAnsi="Arial" w:cs="Arial"/>
              </w:rPr>
              <w:t xml:space="preserve">Enable space and time (and resources) for technicians to engage in secondments and placements </w:t>
            </w:r>
            <w:proofErr w:type="gramStart"/>
            <w:r w:rsidRPr="00500E95">
              <w:rPr>
                <w:rFonts w:ascii="Arial" w:hAnsi="Arial" w:cs="Arial"/>
              </w:rPr>
              <w:t>in order to</w:t>
            </w:r>
            <w:proofErr w:type="gramEnd"/>
            <w:r w:rsidRPr="00500E95">
              <w:rPr>
                <w:rFonts w:ascii="Arial" w:hAnsi="Arial" w:cs="Arial"/>
              </w:rPr>
              <w:t xml:space="preserve"> develop new skills:</w:t>
            </w:r>
          </w:p>
          <w:p w14:paraId="1DB87570" w14:textId="36DDF1CB" w:rsidR="00797497" w:rsidRPr="00500E95" w:rsidRDefault="00797497" w:rsidP="00500E95">
            <w:pPr>
              <w:pStyle w:val="ListParagraph"/>
              <w:numPr>
                <w:ilvl w:val="0"/>
                <w:numId w:val="13"/>
              </w:numPr>
              <w:ind w:left="604" w:hanging="244"/>
              <w:rPr>
                <w:rFonts w:ascii="Arial" w:hAnsi="Arial" w:cs="Arial"/>
              </w:rPr>
            </w:pPr>
            <w:r w:rsidRPr="00500E95">
              <w:rPr>
                <w:rFonts w:ascii="Arial" w:hAnsi="Arial" w:cs="Arial"/>
              </w:rPr>
              <w:t xml:space="preserve">appraisal conversations to include CPD </w:t>
            </w:r>
            <w:proofErr w:type="gramStart"/>
            <w:r w:rsidRPr="00500E95">
              <w:rPr>
                <w:rFonts w:ascii="Arial" w:hAnsi="Arial" w:cs="Arial"/>
              </w:rPr>
              <w:t>opportunities</w:t>
            </w:r>
            <w:proofErr w:type="gramEnd"/>
          </w:p>
          <w:p w14:paraId="050F1CFD" w14:textId="0AC24D1F" w:rsidR="00797497" w:rsidRDefault="00797497" w:rsidP="00500E95">
            <w:pPr>
              <w:pStyle w:val="ListParagraph"/>
              <w:numPr>
                <w:ilvl w:val="0"/>
                <w:numId w:val="13"/>
              </w:numPr>
              <w:ind w:left="604" w:hanging="244"/>
            </w:pPr>
            <w:r>
              <w:rPr>
                <w:rFonts w:ascii="Arial" w:hAnsi="Arial" w:cs="Arial"/>
              </w:rPr>
              <w:t xml:space="preserve">maximise </w:t>
            </w:r>
            <w:r w:rsidRPr="00500E95">
              <w:rPr>
                <w:rFonts w:ascii="Arial" w:hAnsi="Arial" w:cs="Arial"/>
              </w:rPr>
              <w:t xml:space="preserve">use </w:t>
            </w:r>
            <w:r>
              <w:rPr>
                <w:rFonts w:ascii="Arial" w:hAnsi="Arial" w:cs="Arial"/>
              </w:rPr>
              <w:t xml:space="preserve">of </w:t>
            </w:r>
            <w:r w:rsidRPr="00500E95">
              <w:rPr>
                <w:rFonts w:ascii="Arial" w:hAnsi="Arial" w:cs="Arial"/>
              </w:rPr>
              <w:t>Apprenticeship Levy to train and upskill existing staff</w:t>
            </w:r>
          </w:p>
        </w:tc>
      </w:tr>
      <w:tr w:rsidR="00797497" w14:paraId="5AA42649" w14:textId="1633CC9C" w:rsidTr="008C7947">
        <w:tc>
          <w:tcPr>
            <w:tcW w:w="1805" w:type="dxa"/>
            <w:vMerge w:val="restart"/>
            <w:shd w:val="clear" w:color="auto" w:fill="E7E6E6" w:themeFill="background2"/>
          </w:tcPr>
          <w:p w14:paraId="6B453363" w14:textId="487A3614" w:rsidR="00797497" w:rsidRPr="003E3558" w:rsidRDefault="00797497" w:rsidP="00CA5ECE">
            <w:pPr>
              <w:rPr>
                <w:rFonts w:ascii="Arial" w:hAnsi="Arial" w:cs="Arial"/>
                <w:b/>
                <w:bCs/>
              </w:rPr>
            </w:pPr>
            <w:r w:rsidRPr="003E3558">
              <w:rPr>
                <w:rFonts w:ascii="Arial" w:hAnsi="Arial" w:cs="Arial"/>
                <w:b/>
                <w:bCs/>
              </w:rPr>
              <w:t>Sustainability</w:t>
            </w:r>
          </w:p>
        </w:tc>
        <w:tc>
          <w:tcPr>
            <w:tcW w:w="3719" w:type="dxa"/>
          </w:tcPr>
          <w:p w14:paraId="58D15D51" w14:textId="3334AD4C" w:rsidR="00797497" w:rsidRDefault="00797497" w:rsidP="00CA5ECE">
            <w:r w:rsidRPr="00E96D8A">
              <w:rPr>
                <w:rFonts w:ascii="Arial" w:hAnsi="Arial" w:cs="Arial"/>
              </w:rPr>
              <w:t>Take a strategic approach to sustainability of technical skills, careers, and appropriate succession planning through horizon scanning and identifying current and potential future skills gaps</w:t>
            </w:r>
          </w:p>
        </w:tc>
        <w:tc>
          <w:tcPr>
            <w:tcW w:w="8079" w:type="dxa"/>
          </w:tcPr>
          <w:p w14:paraId="72F5CC1B" w14:textId="06489216" w:rsidR="00797497" w:rsidRDefault="00797497" w:rsidP="00CD27DE">
            <w:pPr>
              <w:pStyle w:val="ListParagraph"/>
              <w:numPr>
                <w:ilvl w:val="0"/>
                <w:numId w:val="1"/>
              </w:numPr>
              <w:ind w:left="320"/>
            </w:pPr>
            <w:r w:rsidRPr="00CD27DE">
              <w:rPr>
                <w:rFonts w:ascii="Arial" w:hAnsi="Arial" w:cs="Arial"/>
              </w:rPr>
              <w:t xml:space="preserve">Regularly review and monitor range of technical skills across different job families to identify any skills gaps and engage in succession planning across all technical roles. For example, </w:t>
            </w:r>
            <w:r>
              <w:rPr>
                <w:rFonts w:ascii="Arial" w:hAnsi="Arial" w:cs="Arial"/>
              </w:rPr>
              <w:t>e</w:t>
            </w:r>
            <w:r w:rsidRPr="00135C5A">
              <w:rPr>
                <w:rFonts w:ascii="Arial" w:hAnsi="Arial" w:cs="Arial"/>
              </w:rPr>
              <w:t>ngage with the BGS Laboratories Review (2023) to ensure sustainable career pathways are captured alongside infrastructure priorities as integral to the delivery of the current BGS strategy and beyond.</w:t>
            </w:r>
          </w:p>
        </w:tc>
      </w:tr>
      <w:tr w:rsidR="00797497" w14:paraId="7E951981" w14:textId="32A670E4" w:rsidTr="008C7947">
        <w:tc>
          <w:tcPr>
            <w:tcW w:w="1805" w:type="dxa"/>
            <w:vMerge/>
            <w:shd w:val="clear" w:color="auto" w:fill="E7E6E6" w:themeFill="background2"/>
          </w:tcPr>
          <w:p w14:paraId="1B0C31E6" w14:textId="77777777" w:rsidR="00797497" w:rsidRPr="003E3558" w:rsidRDefault="00797497" w:rsidP="00CA5ECE">
            <w:pPr>
              <w:rPr>
                <w:rFonts w:ascii="Arial" w:hAnsi="Arial" w:cs="Arial"/>
                <w:b/>
                <w:bCs/>
              </w:rPr>
            </w:pPr>
          </w:p>
        </w:tc>
        <w:tc>
          <w:tcPr>
            <w:tcW w:w="3719" w:type="dxa"/>
          </w:tcPr>
          <w:p w14:paraId="3DE306DE" w14:textId="40743C84" w:rsidR="00797497" w:rsidRDefault="00797497" w:rsidP="00CA5ECE">
            <w:r w:rsidRPr="00E96D8A">
              <w:rPr>
                <w:rFonts w:ascii="Arial" w:hAnsi="Arial" w:cs="Arial"/>
              </w:rPr>
              <w:t>Support and/or deliver the collection, reporting, tracking and analysis of data on employer and sector-wide technical workforces</w:t>
            </w:r>
          </w:p>
        </w:tc>
        <w:tc>
          <w:tcPr>
            <w:tcW w:w="8079" w:type="dxa"/>
          </w:tcPr>
          <w:p w14:paraId="46426E3E" w14:textId="638C26F1" w:rsidR="00797497" w:rsidRPr="00500E95" w:rsidRDefault="00797497" w:rsidP="00500E95">
            <w:pPr>
              <w:pStyle w:val="ListParagraph"/>
              <w:numPr>
                <w:ilvl w:val="0"/>
                <w:numId w:val="1"/>
              </w:numPr>
              <w:ind w:left="320"/>
              <w:rPr>
                <w:rFonts w:ascii="Arial" w:hAnsi="Arial" w:cs="Arial"/>
              </w:rPr>
            </w:pPr>
            <w:r w:rsidRPr="00500E95">
              <w:rPr>
                <w:rFonts w:ascii="Arial" w:hAnsi="Arial" w:cs="Arial"/>
              </w:rPr>
              <w:t>Engage in workforce planning for technical workforce</w:t>
            </w:r>
            <w:r>
              <w:rPr>
                <w:rFonts w:ascii="Arial" w:hAnsi="Arial" w:cs="Arial"/>
              </w:rPr>
              <w:t xml:space="preserve"> by p</w:t>
            </w:r>
            <w:r w:rsidRPr="00500E95">
              <w:rPr>
                <w:rFonts w:ascii="Arial" w:hAnsi="Arial" w:cs="Arial"/>
              </w:rPr>
              <w:t>romot</w:t>
            </w:r>
            <w:r>
              <w:rPr>
                <w:rFonts w:ascii="Arial" w:hAnsi="Arial" w:cs="Arial"/>
              </w:rPr>
              <w:t>ing</w:t>
            </w:r>
            <w:r w:rsidRPr="00500E95">
              <w:rPr>
                <w:rFonts w:ascii="Arial" w:hAnsi="Arial" w:cs="Arial"/>
              </w:rPr>
              <w:t xml:space="preserve"> discussions between line managers and staff during appraisal to identify skills needed to bridge skills gaps within departments.</w:t>
            </w:r>
          </w:p>
          <w:p w14:paraId="498B42F9" w14:textId="77777777" w:rsidR="00797497" w:rsidRDefault="00797497" w:rsidP="00CA5ECE"/>
        </w:tc>
      </w:tr>
      <w:tr w:rsidR="00797497" w14:paraId="2B262EE2" w14:textId="2A452066" w:rsidTr="008C7947">
        <w:tc>
          <w:tcPr>
            <w:tcW w:w="1805" w:type="dxa"/>
            <w:vMerge/>
            <w:shd w:val="clear" w:color="auto" w:fill="E7E6E6" w:themeFill="background2"/>
          </w:tcPr>
          <w:p w14:paraId="7CE6E498" w14:textId="77777777" w:rsidR="00797497" w:rsidRPr="003E3558" w:rsidRDefault="00797497" w:rsidP="00CA5ECE">
            <w:pPr>
              <w:rPr>
                <w:rFonts w:ascii="Arial" w:hAnsi="Arial" w:cs="Arial"/>
                <w:b/>
                <w:bCs/>
              </w:rPr>
            </w:pPr>
          </w:p>
        </w:tc>
        <w:tc>
          <w:tcPr>
            <w:tcW w:w="3719" w:type="dxa"/>
          </w:tcPr>
          <w:p w14:paraId="40DCA8FC" w14:textId="7625AA1F" w:rsidR="00797497" w:rsidRDefault="00797497" w:rsidP="00CA5ECE">
            <w:r w:rsidRPr="00E96D8A">
              <w:rPr>
                <w:rFonts w:ascii="Arial" w:hAnsi="Arial" w:cs="Arial"/>
              </w:rPr>
              <w:t xml:space="preserve">Support the development and implementation of a new, simple, and fit-for-purpose classification for technical roles in higher education, </w:t>
            </w:r>
            <w:proofErr w:type="gramStart"/>
            <w:r w:rsidRPr="00E96D8A">
              <w:rPr>
                <w:rFonts w:ascii="Arial" w:hAnsi="Arial" w:cs="Arial"/>
              </w:rPr>
              <w:t>research</w:t>
            </w:r>
            <w:proofErr w:type="gramEnd"/>
            <w:r w:rsidRPr="00E96D8A">
              <w:rPr>
                <w:rFonts w:ascii="Arial" w:hAnsi="Arial" w:cs="Arial"/>
              </w:rPr>
              <w:t xml:space="preserve"> and innovation at all levels, such as by creating a new job family specifically for technical roles, separate from academic, administrative, or any other job family</w:t>
            </w:r>
          </w:p>
        </w:tc>
        <w:tc>
          <w:tcPr>
            <w:tcW w:w="8079" w:type="dxa"/>
          </w:tcPr>
          <w:p w14:paraId="6C4B987F" w14:textId="5FA5C21F" w:rsidR="00797497" w:rsidRDefault="00797497" w:rsidP="00500E95">
            <w:pPr>
              <w:pStyle w:val="ListParagraph"/>
              <w:numPr>
                <w:ilvl w:val="0"/>
                <w:numId w:val="1"/>
              </w:numPr>
              <w:ind w:left="320"/>
            </w:pPr>
            <w:r>
              <w:rPr>
                <w:rFonts w:ascii="Arial" w:hAnsi="Arial" w:cs="Arial"/>
              </w:rPr>
              <w:t>A</w:t>
            </w:r>
            <w:r w:rsidRPr="00500E95">
              <w:rPr>
                <w:rFonts w:ascii="Arial" w:hAnsi="Arial" w:cs="Arial"/>
              </w:rPr>
              <w:t>ssess if BGS can capture staff roles/job families in central Oracle Fusion SHARP system so that reporting and tracking of data is enabled.</w:t>
            </w:r>
          </w:p>
        </w:tc>
      </w:tr>
    </w:tbl>
    <w:p w14:paraId="4EBC600F" w14:textId="77777777" w:rsidR="004B5763" w:rsidRDefault="004B5763"/>
    <w:sectPr w:rsidR="004B5763" w:rsidSect="00CA5EC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060"/>
    <w:multiLevelType w:val="hybridMultilevel"/>
    <w:tmpl w:val="27820350"/>
    <w:lvl w:ilvl="0" w:tplc="5DD2A282">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3A1168"/>
    <w:multiLevelType w:val="hybridMultilevel"/>
    <w:tmpl w:val="CCEC1E6C"/>
    <w:lvl w:ilvl="0" w:tplc="08090001">
      <w:start w:val="1"/>
      <w:numFmt w:val="bullet"/>
      <w:lvlText w:val=""/>
      <w:lvlJc w:val="left"/>
      <w:pPr>
        <w:ind w:left="1040" w:hanging="360"/>
      </w:pPr>
      <w:rPr>
        <w:rFonts w:ascii="Symbol" w:hAnsi="Symbol" w:hint="default"/>
      </w:rPr>
    </w:lvl>
    <w:lvl w:ilvl="1" w:tplc="08090003" w:tentative="1">
      <w:start w:val="1"/>
      <w:numFmt w:val="bullet"/>
      <w:lvlText w:val="o"/>
      <w:lvlJc w:val="left"/>
      <w:pPr>
        <w:ind w:left="1760" w:hanging="360"/>
      </w:pPr>
      <w:rPr>
        <w:rFonts w:ascii="Courier New" w:hAnsi="Courier New" w:cs="Courier New" w:hint="default"/>
      </w:rPr>
    </w:lvl>
    <w:lvl w:ilvl="2" w:tplc="08090005" w:tentative="1">
      <w:start w:val="1"/>
      <w:numFmt w:val="bullet"/>
      <w:lvlText w:val=""/>
      <w:lvlJc w:val="left"/>
      <w:pPr>
        <w:ind w:left="2480" w:hanging="360"/>
      </w:pPr>
      <w:rPr>
        <w:rFonts w:ascii="Wingdings" w:hAnsi="Wingdings" w:hint="default"/>
      </w:rPr>
    </w:lvl>
    <w:lvl w:ilvl="3" w:tplc="08090001" w:tentative="1">
      <w:start w:val="1"/>
      <w:numFmt w:val="bullet"/>
      <w:lvlText w:val=""/>
      <w:lvlJc w:val="left"/>
      <w:pPr>
        <w:ind w:left="3200" w:hanging="360"/>
      </w:pPr>
      <w:rPr>
        <w:rFonts w:ascii="Symbol" w:hAnsi="Symbol" w:hint="default"/>
      </w:rPr>
    </w:lvl>
    <w:lvl w:ilvl="4" w:tplc="08090003" w:tentative="1">
      <w:start w:val="1"/>
      <w:numFmt w:val="bullet"/>
      <w:lvlText w:val="o"/>
      <w:lvlJc w:val="left"/>
      <w:pPr>
        <w:ind w:left="3920" w:hanging="360"/>
      </w:pPr>
      <w:rPr>
        <w:rFonts w:ascii="Courier New" w:hAnsi="Courier New" w:cs="Courier New" w:hint="default"/>
      </w:rPr>
    </w:lvl>
    <w:lvl w:ilvl="5" w:tplc="08090005" w:tentative="1">
      <w:start w:val="1"/>
      <w:numFmt w:val="bullet"/>
      <w:lvlText w:val=""/>
      <w:lvlJc w:val="left"/>
      <w:pPr>
        <w:ind w:left="4640" w:hanging="360"/>
      </w:pPr>
      <w:rPr>
        <w:rFonts w:ascii="Wingdings" w:hAnsi="Wingdings" w:hint="default"/>
      </w:rPr>
    </w:lvl>
    <w:lvl w:ilvl="6" w:tplc="08090001" w:tentative="1">
      <w:start w:val="1"/>
      <w:numFmt w:val="bullet"/>
      <w:lvlText w:val=""/>
      <w:lvlJc w:val="left"/>
      <w:pPr>
        <w:ind w:left="5360" w:hanging="360"/>
      </w:pPr>
      <w:rPr>
        <w:rFonts w:ascii="Symbol" w:hAnsi="Symbol" w:hint="default"/>
      </w:rPr>
    </w:lvl>
    <w:lvl w:ilvl="7" w:tplc="08090003" w:tentative="1">
      <w:start w:val="1"/>
      <w:numFmt w:val="bullet"/>
      <w:lvlText w:val="o"/>
      <w:lvlJc w:val="left"/>
      <w:pPr>
        <w:ind w:left="6080" w:hanging="360"/>
      </w:pPr>
      <w:rPr>
        <w:rFonts w:ascii="Courier New" w:hAnsi="Courier New" w:cs="Courier New" w:hint="default"/>
      </w:rPr>
    </w:lvl>
    <w:lvl w:ilvl="8" w:tplc="08090005" w:tentative="1">
      <w:start w:val="1"/>
      <w:numFmt w:val="bullet"/>
      <w:lvlText w:val=""/>
      <w:lvlJc w:val="left"/>
      <w:pPr>
        <w:ind w:left="6800" w:hanging="360"/>
      </w:pPr>
      <w:rPr>
        <w:rFonts w:ascii="Wingdings" w:hAnsi="Wingdings" w:hint="default"/>
      </w:rPr>
    </w:lvl>
  </w:abstractNum>
  <w:abstractNum w:abstractNumId="2" w15:restartNumberingAfterBreak="0">
    <w:nsid w:val="081F2E87"/>
    <w:multiLevelType w:val="hybridMultilevel"/>
    <w:tmpl w:val="4412F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6D6A46"/>
    <w:multiLevelType w:val="hybridMultilevel"/>
    <w:tmpl w:val="7FDA6F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911D5F"/>
    <w:multiLevelType w:val="hybridMultilevel"/>
    <w:tmpl w:val="1F0C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7563C"/>
    <w:multiLevelType w:val="hybridMultilevel"/>
    <w:tmpl w:val="B0BCCA1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9D37350"/>
    <w:multiLevelType w:val="hybridMultilevel"/>
    <w:tmpl w:val="422889EE"/>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03B84"/>
    <w:multiLevelType w:val="hybridMultilevel"/>
    <w:tmpl w:val="DD9A1020"/>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A63FBD"/>
    <w:multiLevelType w:val="hybridMultilevel"/>
    <w:tmpl w:val="0AD4DDD0"/>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DF3E10"/>
    <w:multiLevelType w:val="hybridMultilevel"/>
    <w:tmpl w:val="7A44DE24"/>
    <w:lvl w:ilvl="0" w:tplc="026A1B14">
      <w:numFmt w:val="bullet"/>
      <w:lvlText w:val="-"/>
      <w:lvlJc w:val="left"/>
      <w:pPr>
        <w:ind w:left="680" w:hanging="360"/>
      </w:pPr>
      <w:rPr>
        <w:rFonts w:ascii="Arial" w:eastAsiaTheme="minorHAnsi" w:hAnsi="Arial" w:cs="Arial" w:hint="default"/>
      </w:rPr>
    </w:lvl>
    <w:lvl w:ilvl="1" w:tplc="08090003" w:tentative="1">
      <w:start w:val="1"/>
      <w:numFmt w:val="bullet"/>
      <w:lvlText w:val="o"/>
      <w:lvlJc w:val="left"/>
      <w:pPr>
        <w:ind w:left="1400" w:hanging="360"/>
      </w:pPr>
      <w:rPr>
        <w:rFonts w:ascii="Courier New" w:hAnsi="Courier New" w:cs="Courier New" w:hint="default"/>
      </w:rPr>
    </w:lvl>
    <w:lvl w:ilvl="2" w:tplc="08090005" w:tentative="1">
      <w:start w:val="1"/>
      <w:numFmt w:val="bullet"/>
      <w:lvlText w:val=""/>
      <w:lvlJc w:val="left"/>
      <w:pPr>
        <w:ind w:left="2120" w:hanging="360"/>
      </w:pPr>
      <w:rPr>
        <w:rFonts w:ascii="Wingdings" w:hAnsi="Wingdings" w:hint="default"/>
      </w:rPr>
    </w:lvl>
    <w:lvl w:ilvl="3" w:tplc="08090001" w:tentative="1">
      <w:start w:val="1"/>
      <w:numFmt w:val="bullet"/>
      <w:lvlText w:val=""/>
      <w:lvlJc w:val="left"/>
      <w:pPr>
        <w:ind w:left="2840" w:hanging="360"/>
      </w:pPr>
      <w:rPr>
        <w:rFonts w:ascii="Symbol" w:hAnsi="Symbol" w:hint="default"/>
      </w:rPr>
    </w:lvl>
    <w:lvl w:ilvl="4" w:tplc="08090003" w:tentative="1">
      <w:start w:val="1"/>
      <w:numFmt w:val="bullet"/>
      <w:lvlText w:val="o"/>
      <w:lvlJc w:val="left"/>
      <w:pPr>
        <w:ind w:left="3560" w:hanging="360"/>
      </w:pPr>
      <w:rPr>
        <w:rFonts w:ascii="Courier New" w:hAnsi="Courier New" w:cs="Courier New" w:hint="default"/>
      </w:rPr>
    </w:lvl>
    <w:lvl w:ilvl="5" w:tplc="08090005" w:tentative="1">
      <w:start w:val="1"/>
      <w:numFmt w:val="bullet"/>
      <w:lvlText w:val=""/>
      <w:lvlJc w:val="left"/>
      <w:pPr>
        <w:ind w:left="4280" w:hanging="360"/>
      </w:pPr>
      <w:rPr>
        <w:rFonts w:ascii="Wingdings" w:hAnsi="Wingdings" w:hint="default"/>
      </w:rPr>
    </w:lvl>
    <w:lvl w:ilvl="6" w:tplc="08090001" w:tentative="1">
      <w:start w:val="1"/>
      <w:numFmt w:val="bullet"/>
      <w:lvlText w:val=""/>
      <w:lvlJc w:val="left"/>
      <w:pPr>
        <w:ind w:left="5000" w:hanging="360"/>
      </w:pPr>
      <w:rPr>
        <w:rFonts w:ascii="Symbol" w:hAnsi="Symbol" w:hint="default"/>
      </w:rPr>
    </w:lvl>
    <w:lvl w:ilvl="7" w:tplc="08090003" w:tentative="1">
      <w:start w:val="1"/>
      <w:numFmt w:val="bullet"/>
      <w:lvlText w:val="o"/>
      <w:lvlJc w:val="left"/>
      <w:pPr>
        <w:ind w:left="5720" w:hanging="360"/>
      </w:pPr>
      <w:rPr>
        <w:rFonts w:ascii="Courier New" w:hAnsi="Courier New" w:cs="Courier New" w:hint="default"/>
      </w:rPr>
    </w:lvl>
    <w:lvl w:ilvl="8" w:tplc="08090005" w:tentative="1">
      <w:start w:val="1"/>
      <w:numFmt w:val="bullet"/>
      <w:lvlText w:val=""/>
      <w:lvlJc w:val="left"/>
      <w:pPr>
        <w:ind w:left="6440" w:hanging="360"/>
      </w:pPr>
      <w:rPr>
        <w:rFonts w:ascii="Wingdings" w:hAnsi="Wingdings" w:hint="default"/>
      </w:rPr>
    </w:lvl>
  </w:abstractNum>
  <w:abstractNum w:abstractNumId="10" w15:restartNumberingAfterBreak="0">
    <w:nsid w:val="4FEC615C"/>
    <w:multiLevelType w:val="hybridMultilevel"/>
    <w:tmpl w:val="B7BC2708"/>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13B0B"/>
    <w:multiLevelType w:val="hybridMultilevel"/>
    <w:tmpl w:val="8AA45A9E"/>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12487"/>
    <w:multiLevelType w:val="hybridMultilevel"/>
    <w:tmpl w:val="2F1807C0"/>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C842FB"/>
    <w:multiLevelType w:val="hybridMultilevel"/>
    <w:tmpl w:val="901283BC"/>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6F52294"/>
    <w:multiLevelType w:val="hybridMultilevel"/>
    <w:tmpl w:val="375C2182"/>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38221D"/>
    <w:multiLevelType w:val="hybridMultilevel"/>
    <w:tmpl w:val="EBAEF4F8"/>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E724F4"/>
    <w:multiLevelType w:val="hybridMultilevel"/>
    <w:tmpl w:val="9E3865CA"/>
    <w:lvl w:ilvl="0" w:tplc="026A1B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597CF9"/>
    <w:multiLevelType w:val="hybridMultilevel"/>
    <w:tmpl w:val="6A24607C"/>
    <w:lvl w:ilvl="0" w:tplc="5DD2A282">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761023981">
    <w:abstractNumId w:val="3"/>
  </w:num>
  <w:num w:numId="2" w16cid:durableId="232352092">
    <w:abstractNumId w:val="4"/>
  </w:num>
  <w:num w:numId="3" w16cid:durableId="1859588009">
    <w:abstractNumId w:val="14"/>
  </w:num>
  <w:num w:numId="4" w16cid:durableId="471488769">
    <w:abstractNumId w:val="7"/>
  </w:num>
  <w:num w:numId="5" w16cid:durableId="140779536">
    <w:abstractNumId w:val="9"/>
  </w:num>
  <w:num w:numId="6" w16cid:durableId="452098888">
    <w:abstractNumId w:val="11"/>
  </w:num>
  <w:num w:numId="7" w16cid:durableId="1375275163">
    <w:abstractNumId w:val="6"/>
  </w:num>
  <w:num w:numId="8" w16cid:durableId="767775004">
    <w:abstractNumId w:val="16"/>
  </w:num>
  <w:num w:numId="9" w16cid:durableId="126164001">
    <w:abstractNumId w:val="8"/>
  </w:num>
  <w:num w:numId="10" w16cid:durableId="348337037">
    <w:abstractNumId w:val="13"/>
  </w:num>
  <w:num w:numId="11" w16cid:durableId="877396360">
    <w:abstractNumId w:val="15"/>
  </w:num>
  <w:num w:numId="12" w16cid:durableId="2010522581">
    <w:abstractNumId w:val="12"/>
  </w:num>
  <w:num w:numId="13" w16cid:durableId="389768560">
    <w:abstractNumId w:val="10"/>
  </w:num>
  <w:num w:numId="14" w16cid:durableId="1366712162">
    <w:abstractNumId w:val="1"/>
  </w:num>
  <w:num w:numId="15" w16cid:durableId="175659764">
    <w:abstractNumId w:val="2"/>
  </w:num>
  <w:num w:numId="16" w16cid:durableId="1937710564">
    <w:abstractNumId w:val="17"/>
  </w:num>
  <w:num w:numId="17" w16cid:durableId="2043167413">
    <w:abstractNumId w:val="5"/>
  </w:num>
  <w:num w:numId="18" w16cid:durableId="1852379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CE"/>
    <w:rsid w:val="000D20DD"/>
    <w:rsid w:val="0012563C"/>
    <w:rsid w:val="00142CE4"/>
    <w:rsid w:val="001C3F0D"/>
    <w:rsid w:val="001D0DD4"/>
    <w:rsid w:val="001F1BA0"/>
    <w:rsid w:val="003B02A8"/>
    <w:rsid w:val="003E3558"/>
    <w:rsid w:val="0044356B"/>
    <w:rsid w:val="004B5763"/>
    <w:rsid w:val="004E1E44"/>
    <w:rsid w:val="00500E95"/>
    <w:rsid w:val="006105E6"/>
    <w:rsid w:val="00667CC6"/>
    <w:rsid w:val="006B27CC"/>
    <w:rsid w:val="006F00B9"/>
    <w:rsid w:val="00786AD6"/>
    <w:rsid w:val="00797497"/>
    <w:rsid w:val="007B2FE9"/>
    <w:rsid w:val="008C7947"/>
    <w:rsid w:val="009159F1"/>
    <w:rsid w:val="009279C8"/>
    <w:rsid w:val="00944849"/>
    <w:rsid w:val="00B22411"/>
    <w:rsid w:val="00B8271D"/>
    <w:rsid w:val="00BE3BD9"/>
    <w:rsid w:val="00C56307"/>
    <w:rsid w:val="00CA5ECE"/>
    <w:rsid w:val="00CD27DE"/>
    <w:rsid w:val="00DF115C"/>
    <w:rsid w:val="00EA4E78"/>
    <w:rsid w:val="00EE6F8A"/>
    <w:rsid w:val="00F25C66"/>
    <w:rsid w:val="00F500CB"/>
    <w:rsid w:val="00F96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F4F3"/>
  <w15:chartTrackingRefBased/>
  <w15:docId w15:val="{8EC416E5-55E1-4365-B6FB-171F7568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3558"/>
    <w:pPr>
      <w:ind w:left="720"/>
      <w:contextualSpacing/>
    </w:pPr>
  </w:style>
  <w:style w:type="paragraph" w:styleId="Revision">
    <w:name w:val="Revision"/>
    <w:hidden/>
    <w:uiPriority w:val="99"/>
    <w:semiHidden/>
    <w:rsid w:val="001D0D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52658F168D8647A348C74E88905929" ma:contentTypeVersion="18" ma:contentTypeDescription="Create a new document." ma:contentTypeScope="" ma:versionID="e40d12cdeac616c41834632004e73454">
  <xsd:schema xmlns:xsd="http://www.w3.org/2001/XMLSchema" xmlns:xs="http://www.w3.org/2001/XMLSchema" xmlns:p="http://schemas.microsoft.com/office/2006/metadata/properties" xmlns:ns2="de2ac377-0645-4173-93f9-b0ecbbe3d913" xmlns:ns3="bdbd2759-53c5-497c-bd73-c2222c53d375" targetNamespace="http://schemas.microsoft.com/office/2006/metadata/properties" ma:root="true" ma:fieldsID="546f8587e69fc4a36b57ca87a5e74732" ns2:_="" ns3:_="">
    <xsd:import namespace="de2ac377-0645-4173-93f9-b0ecbbe3d913"/>
    <xsd:import namespace="bdbd2759-53c5-497c-bd73-c2222c53d3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ac377-0645-4173-93f9-b0ecbbe3d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bd2759-53c5-497c-bd73-c2222c53d37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7864b15-8b01-4511-b3d0-a93ffe6dcc44}" ma:internalName="TaxCatchAll" ma:showField="CatchAllData" ma:web="bdbd2759-53c5-497c-bd73-c2222c53d37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2ac377-0645-4173-93f9-b0ecbbe3d913">
      <Terms xmlns="http://schemas.microsoft.com/office/infopath/2007/PartnerControls"/>
    </lcf76f155ced4ddcb4097134ff3c332f>
    <TaxCatchAll xmlns="bdbd2759-53c5-497c-bd73-c2222c53d375" xsi:nil="true"/>
  </documentManagement>
</p:properties>
</file>

<file path=customXml/itemProps1.xml><?xml version="1.0" encoding="utf-8"?>
<ds:datastoreItem xmlns:ds="http://schemas.openxmlformats.org/officeDocument/2006/customXml" ds:itemID="{6C0A1842-FF39-4886-95B0-BFEB5F7B0DFB}">
  <ds:schemaRefs>
    <ds:schemaRef ds:uri="http://schemas.openxmlformats.org/officeDocument/2006/bibliography"/>
  </ds:schemaRefs>
</ds:datastoreItem>
</file>

<file path=customXml/itemProps2.xml><?xml version="1.0" encoding="utf-8"?>
<ds:datastoreItem xmlns:ds="http://schemas.openxmlformats.org/officeDocument/2006/customXml" ds:itemID="{8EFEBCDA-DE84-4DEB-AB24-2482F0D58027}"/>
</file>

<file path=customXml/itemProps3.xml><?xml version="1.0" encoding="utf-8"?>
<ds:datastoreItem xmlns:ds="http://schemas.openxmlformats.org/officeDocument/2006/customXml" ds:itemID="{41EE5720-055E-42EA-917D-D9A76E2AADD8}"/>
</file>

<file path=customXml/itemProps4.xml><?xml version="1.0" encoding="utf-8"?>
<ds:datastoreItem xmlns:ds="http://schemas.openxmlformats.org/officeDocument/2006/customXml" ds:itemID="{A75BD526-0ABF-4068-BEE9-FEB2741BAB91}"/>
</file>

<file path=docProps/app.xml><?xml version="1.0" encoding="utf-8"?>
<Properties xmlns="http://schemas.openxmlformats.org/officeDocument/2006/extended-properties" xmlns:vt="http://schemas.openxmlformats.org/officeDocument/2006/docPropsVTypes">
  <Template>Normal</Template>
  <TotalTime>1</TotalTime>
  <Pages>4</Pages>
  <Words>1466</Words>
  <Characters>8357</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BGS</Company>
  <LinksUpToDate>false</LinksUpToDate>
  <CharactersWithSpaces>9804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Napier - BGS</dc:creator>
  <cp:keywords/>
  <dc:description/>
  <cp:lastModifiedBy>Carly Dellar</cp:lastModifiedBy>
  <cp:revision>2</cp:revision>
  <dcterms:created xsi:type="dcterms:W3CDTF">2024-02-13T11:08:00Z</dcterms:created>
  <dcterms:modified xsi:type="dcterms:W3CDTF">2024-02-13T11:08:00Z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0x0101000252658F168D8647A348C74E88905929</vt:lpwstr>
  </property>
</Properties>
</file>